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572B">
      <w:pPr>
        <w:pStyle w:val="9"/>
        <w:rPr>
          <w:color w:val="auto"/>
          <w:highlight w:val="none"/>
        </w:rPr>
      </w:pPr>
      <w:r>
        <w:rPr>
          <w:color w:val="auto"/>
          <w:highlight w:val="none"/>
        </w:rPr>
        <w:br w:type="textWrapping"/>
      </w:r>
      <w:r>
        <w:rPr>
          <w:color w:val="auto"/>
          <w:highlight w:val="none"/>
        </w:rPr>
        <w:br w:type="textWrapping"/>
      </w:r>
    </w:p>
    <w:p w14:paraId="1845A26A">
      <w:pPr>
        <w:pStyle w:val="9"/>
        <w:jc w:val="center"/>
        <w:outlineLvl w:val="3"/>
        <w:rPr>
          <w:color w:val="auto"/>
          <w:highlight w:val="none"/>
        </w:rPr>
      </w:pPr>
    </w:p>
    <w:p w14:paraId="1D351BA6">
      <w:pPr>
        <w:pStyle w:val="9"/>
        <w:spacing w:line="360" w:lineRule="auto"/>
        <w:jc w:val="center"/>
        <w:outlineLvl w:val="3"/>
        <w:rPr>
          <w:rFonts w:hint="eastAsia" w:eastAsiaTheme="minorEastAsia"/>
          <w:color w:val="auto"/>
          <w:sz w:val="40"/>
          <w:szCs w:val="40"/>
          <w:highlight w:val="none"/>
          <w:lang w:eastAsia="zh-CN"/>
        </w:rPr>
      </w:pPr>
      <w:r>
        <w:rPr>
          <w:rFonts w:hint="eastAsia"/>
          <w:b/>
          <w:color w:val="auto"/>
          <w:sz w:val="52"/>
          <w:szCs w:val="40"/>
          <w:highlight w:val="none"/>
          <w:lang w:eastAsia="zh-CN"/>
        </w:rPr>
        <w:t>2025年兽医实验室仪器设备、监测试剂及耗材采购项目</w:t>
      </w:r>
    </w:p>
    <w:p w14:paraId="05EFF059">
      <w:pPr>
        <w:pStyle w:val="9"/>
        <w:jc w:val="center"/>
        <w:outlineLvl w:val="3"/>
        <w:rPr>
          <w:b/>
          <w:color w:val="auto"/>
          <w:sz w:val="44"/>
          <w:szCs w:val="32"/>
          <w:highlight w:val="none"/>
        </w:rPr>
      </w:pPr>
    </w:p>
    <w:p w14:paraId="16E064FA">
      <w:pPr>
        <w:pStyle w:val="9"/>
        <w:jc w:val="center"/>
        <w:outlineLvl w:val="3"/>
        <w:rPr>
          <w:b/>
          <w:color w:val="auto"/>
          <w:sz w:val="44"/>
          <w:szCs w:val="32"/>
          <w:highlight w:val="none"/>
        </w:rPr>
      </w:pPr>
    </w:p>
    <w:p w14:paraId="5D888525">
      <w:pPr>
        <w:pStyle w:val="9"/>
        <w:jc w:val="center"/>
        <w:outlineLvl w:val="3"/>
        <w:rPr>
          <w:b/>
          <w:color w:val="auto"/>
          <w:sz w:val="44"/>
          <w:szCs w:val="32"/>
          <w:highlight w:val="none"/>
        </w:rPr>
      </w:pPr>
    </w:p>
    <w:p w14:paraId="52695C27">
      <w:pPr>
        <w:pStyle w:val="9"/>
        <w:jc w:val="center"/>
        <w:outlineLvl w:val="3"/>
        <w:rPr>
          <w:rFonts w:hint="eastAsia" w:eastAsiaTheme="minorEastAsia"/>
          <w:b/>
          <w:color w:val="auto"/>
          <w:sz w:val="52"/>
          <w:szCs w:val="40"/>
          <w:highlight w:val="none"/>
          <w:lang w:val="en-US" w:eastAsia="zh-CN"/>
        </w:rPr>
      </w:pPr>
      <w:r>
        <w:rPr>
          <w:rFonts w:hint="eastAsia"/>
          <w:b/>
          <w:color w:val="auto"/>
          <w:sz w:val="52"/>
          <w:szCs w:val="40"/>
          <w:highlight w:val="none"/>
          <w:lang w:val="en-US" w:eastAsia="zh-CN"/>
        </w:rPr>
        <w:t>询价清单</w:t>
      </w:r>
    </w:p>
    <w:p w14:paraId="4BF94FD7">
      <w:pPr>
        <w:pStyle w:val="9"/>
        <w:jc w:val="center"/>
        <w:outlineLvl w:val="3"/>
        <w:rPr>
          <w:b/>
          <w:color w:val="auto"/>
          <w:sz w:val="44"/>
          <w:szCs w:val="32"/>
          <w:highlight w:val="none"/>
        </w:rPr>
      </w:pPr>
    </w:p>
    <w:p w14:paraId="6D3013D5">
      <w:pPr>
        <w:pStyle w:val="9"/>
        <w:jc w:val="center"/>
        <w:outlineLvl w:val="3"/>
        <w:rPr>
          <w:b/>
          <w:color w:val="auto"/>
          <w:sz w:val="44"/>
          <w:szCs w:val="32"/>
          <w:highlight w:val="none"/>
        </w:rPr>
      </w:pPr>
    </w:p>
    <w:p w14:paraId="53108E81">
      <w:pPr>
        <w:pStyle w:val="9"/>
        <w:jc w:val="center"/>
        <w:outlineLvl w:val="3"/>
        <w:rPr>
          <w:b/>
          <w:color w:val="auto"/>
          <w:sz w:val="44"/>
          <w:szCs w:val="32"/>
          <w:highlight w:val="none"/>
        </w:rPr>
      </w:pPr>
    </w:p>
    <w:p w14:paraId="5FCFC62B">
      <w:pPr>
        <w:pStyle w:val="9"/>
        <w:jc w:val="center"/>
        <w:outlineLvl w:val="3"/>
        <w:rPr>
          <w:b/>
          <w:color w:val="auto"/>
          <w:sz w:val="44"/>
          <w:szCs w:val="32"/>
          <w:highlight w:val="none"/>
        </w:rPr>
      </w:pPr>
    </w:p>
    <w:p w14:paraId="2568CA61">
      <w:pPr>
        <w:pStyle w:val="9"/>
        <w:jc w:val="center"/>
        <w:outlineLvl w:val="3"/>
        <w:rPr>
          <w:b/>
          <w:color w:val="auto"/>
          <w:sz w:val="44"/>
          <w:szCs w:val="32"/>
          <w:highlight w:val="none"/>
        </w:rPr>
      </w:pPr>
    </w:p>
    <w:p w14:paraId="03AF6607">
      <w:pPr>
        <w:pStyle w:val="9"/>
        <w:jc w:val="both"/>
        <w:outlineLvl w:val="3"/>
        <w:rPr>
          <w:b/>
          <w:color w:val="auto"/>
          <w:sz w:val="44"/>
          <w:szCs w:val="32"/>
          <w:highlight w:val="none"/>
        </w:rPr>
      </w:pPr>
    </w:p>
    <w:p w14:paraId="7BF5DBFE">
      <w:pPr>
        <w:pStyle w:val="9"/>
        <w:jc w:val="center"/>
        <w:outlineLvl w:val="3"/>
        <w:rPr>
          <w:b/>
          <w:color w:val="auto"/>
          <w:sz w:val="44"/>
          <w:szCs w:val="32"/>
          <w:highlight w:val="none"/>
        </w:rPr>
      </w:pPr>
    </w:p>
    <w:p w14:paraId="69FAB645">
      <w:pPr>
        <w:pStyle w:val="9"/>
        <w:spacing w:line="360" w:lineRule="auto"/>
        <w:jc w:val="center"/>
        <w:outlineLvl w:val="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采购人：茂名市动物疫病预防控制中心</w:t>
      </w:r>
    </w:p>
    <w:p w14:paraId="5A1E2E27">
      <w:pPr>
        <w:pStyle w:val="9"/>
        <w:spacing w:line="360" w:lineRule="auto"/>
        <w:ind w:firstLine="2530" w:firstLineChars="900"/>
        <w:jc w:val="both"/>
        <w:outlineLvl w:val="1"/>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cstheme="minorEastAsia"/>
          <w:b/>
          <w:color w:val="auto"/>
          <w:sz w:val="28"/>
          <w:szCs w:val="28"/>
          <w:highlight w:val="none"/>
          <w:lang w:eastAsia="zh-CN"/>
        </w:rPr>
        <w:t>采购代理机构：</w:t>
      </w:r>
      <w:r>
        <w:rPr>
          <w:rFonts w:hint="eastAsia" w:asciiTheme="minorEastAsia" w:hAnsiTheme="minorEastAsia" w:cstheme="minorEastAsia"/>
          <w:b/>
          <w:color w:val="auto"/>
          <w:sz w:val="28"/>
          <w:szCs w:val="28"/>
          <w:highlight w:val="none"/>
          <w:lang w:val="en-US" w:eastAsia="zh-CN"/>
        </w:rPr>
        <w:t>广东信锋招标代理有限公司</w:t>
      </w:r>
    </w:p>
    <w:p w14:paraId="04321850">
      <w:pPr>
        <w:pStyle w:val="9"/>
        <w:spacing w:line="360" w:lineRule="auto"/>
        <w:ind w:firstLine="2530" w:firstLineChars="900"/>
        <w:jc w:val="both"/>
        <w:outlineLvl w:val="1"/>
        <w:rPr>
          <w:rFonts w:hint="default"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eastAsia="zh-CN"/>
        </w:rPr>
        <w:t>日期：</w:t>
      </w:r>
      <w:r>
        <w:rPr>
          <w:rFonts w:hint="eastAsia" w:asciiTheme="minorEastAsia" w:hAnsiTheme="minorEastAsia" w:cstheme="minorEastAsia"/>
          <w:b/>
          <w:color w:val="auto"/>
          <w:sz w:val="28"/>
          <w:szCs w:val="28"/>
          <w:highlight w:val="none"/>
          <w:lang w:val="en-US" w:eastAsia="zh-CN"/>
        </w:rPr>
        <w:t>2025年07月21日</w:t>
      </w:r>
    </w:p>
    <w:p w14:paraId="5EFA3EC9">
      <w:pPr>
        <w:pStyle w:val="9"/>
        <w:jc w:val="center"/>
        <w:outlineLvl w:val="1"/>
        <w:rPr>
          <w:b/>
          <w:color w:val="auto"/>
          <w:sz w:val="36"/>
          <w:highlight w:val="none"/>
        </w:rPr>
      </w:pPr>
    </w:p>
    <w:p w14:paraId="2E561075">
      <w:pPr>
        <w:pStyle w:val="9"/>
        <w:jc w:val="center"/>
        <w:outlineLvl w:val="1"/>
        <w:rPr>
          <w:b/>
          <w:color w:val="auto"/>
          <w:sz w:val="36"/>
          <w:highlight w:val="none"/>
        </w:rPr>
      </w:pPr>
    </w:p>
    <w:p w14:paraId="17852D3E">
      <w:pPr>
        <w:pStyle w:val="9"/>
        <w:jc w:val="both"/>
        <w:outlineLvl w:val="1"/>
        <w:rPr>
          <w:b/>
          <w:color w:val="auto"/>
          <w:sz w:val="36"/>
          <w:highlight w:val="none"/>
        </w:rPr>
      </w:pPr>
    </w:p>
    <w:p w14:paraId="4DA6EDF9">
      <w:pPr>
        <w:pStyle w:val="9"/>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项目名称：</w:t>
      </w:r>
      <w:r>
        <w:rPr>
          <w:rFonts w:hint="eastAsia" w:asciiTheme="minorEastAsia" w:hAnsiTheme="minorEastAsia" w:eastAsiaTheme="minorEastAsia" w:cstheme="minorEastAsia"/>
          <w:b w:val="0"/>
          <w:bCs w:val="0"/>
          <w:color w:val="auto"/>
          <w:sz w:val="24"/>
          <w:szCs w:val="24"/>
          <w:highlight w:val="none"/>
          <w:lang w:eastAsia="zh-CN"/>
        </w:rPr>
        <w:t>2025年兽医实验室仪器设备、监测试剂及耗材采购项目</w:t>
      </w:r>
    </w:p>
    <w:p w14:paraId="578811C3">
      <w:pPr>
        <w:pStyle w:val="9"/>
        <w:spacing w:line="360" w:lineRule="auto"/>
        <w:ind w:firstLine="480" w:firstLineChars="200"/>
        <w:outlineLvl w:val="3"/>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项目内容及需求情况（采购项目技术规格、参数及要求）</w:t>
      </w:r>
    </w:p>
    <w:p w14:paraId="4510D67D">
      <w:pPr>
        <w:pStyle w:val="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采购包1(兽医实验室仪器设备):</w:t>
      </w:r>
    </w:p>
    <w:p w14:paraId="07805952">
      <w:pPr>
        <w:pStyle w:val="9"/>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.1洁净机组</w:t>
      </w:r>
    </w:p>
    <w:tbl>
      <w:tblPr>
        <w:tblStyle w:val="7"/>
        <w:tblW w:w="4998" w:type="pct"/>
        <w:jc w:val="center"/>
        <w:tblLayout w:type="autofit"/>
        <w:tblCellMar>
          <w:top w:w="0" w:type="dxa"/>
          <w:left w:w="108" w:type="dxa"/>
          <w:bottom w:w="0" w:type="dxa"/>
          <w:right w:w="108" w:type="dxa"/>
        </w:tblCellMar>
      </w:tblPr>
      <w:tblGrid>
        <w:gridCol w:w="869"/>
        <w:gridCol w:w="1305"/>
        <w:gridCol w:w="5266"/>
        <w:gridCol w:w="1291"/>
        <w:gridCol w:w="1227"/>
      </w:tblGrid>
      <w:tr w14:paraId="7E916FFC">
        <w:tblPrEx>
          <w:tblCellMar>
            <w:top w:w="0" w:type="dxa"/>
            <w:left w:w="108" w:type="dxa"/>
            <w:bottom w:w="0" w:type="dxa"/>
            <w:right w:w="108" w:type="dxa"/>
          </w:tblCellMar>
        </w:tblPrEx>
        <w:trPr>
          <w:trHeight w:val="50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2C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序号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00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设备名称</w:t>
            </w:r>
          </w:p>
        </w:tc>
        <w:tc>
          <w:tcPr>
            <w:tcW w:w="2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86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技术参数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7C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eastAsia="zh-CN" w:bidi="ar"/>
              </w:rPr>
            </w:pPr>
            <w:r>
              <w:rPr>
                <w:rFonts w:hint="eastAsia" w:asciiTheme="minorEastAsia" w:hAnsiTheme="minorEastAsia" w:eastAsiaTheme="minorEastAsia" w:cstheme="minorEastAsia"/>
                <w:b/>
                <w:bCs/>
                <w:color w:val="auto"/>
                <w:kern w:val="0"/>
                <w:sz w:val="24"/>
                <w:szCs w:val="24"/>
                <w:highlight w:val="none"/>
                <w:lang w:eastAsia="zh-CN" w:bidi="ar"/>
              </w:rPr>
              <w:t>单价（元）</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BD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eastAsia="zh-CN" w:bidi="ar"/>
              </w:rPr>
            </w:pPr>
            <w:r>
              <w:rPr>
                <w:rFonts w:hint="eastAsia" w:asciiTheme="minorEastAsia" w:hAnsiTheme="minorEastAsia" w:eastAsiaTheme="minorEastAsia" w:cstheme="minorEastAsia"/>
                <w:b/>
                <w:bCs/>
                <w:color w:val="auto"/>
                <w:kern w:val="0"/>
                <w:sz w:val="24"/>
                <w:szCs w:val="24"/>
                <w:highlight w:val="none"/>
                <w:lang w:eastAsia="zh-CN" w:bidi="ar"/>
              </w:rPr>
              <w:t>总价（元）</w:t>
            </w:r>
          </w:p>
        </w:tc>
      </w:tr>
      <w:tr w14:paraId="1D79A139">
        <w:tblPrEx>
          <w:tblCellMar>
            <w:top w:w="0" w:type="dxa"/>
            <w:left w:w="108" w:type="dxa"/>
            <w:bottom w:w="0" w:type="dxa"/>
            <w:right w:w="108" w:type="dxa"/>
          </w:tblCellMar>
        </w:tblPrEx>
        <w:trPr>
          <w:trHeight w:val="50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00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C1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洁净机组</w:t>
            </w:r>
          </w:p>
        </w:tc>
        <w:tc>
          <w:tcPr>
            <w:tcW w:w="2643" w:type="pct"/>
            <w:tcBorders>
              <w:top w:val="single" w:color="000000" w:sz="4" w:space="0"/>
              <w:left w:val="single" w:color="000000" w:sz="4" w:space="0"/>
              <w:bottom w:val="single" w:color="000000" w:sz="4" w:space="0"/>
              <w:right w:val="single" w:color="000000" w:sz="4" w:space="0"/>
            </w:tcBorders>
            <w:shd w:val="clear" w:color="auto" w:fill="auto"/>
            <w:vAlign w:val="top"/>
          </w:tcPr>
          <w:p w14:paraId="0FFCCB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1.全新风机组</w:t>
            </w:r>
          </w:p>
          <w:p w14:paraId="5FFA2B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1.1风量：≥2400CMH；</w:t>
            </w:r>
          </w:p>
          <w:p w14:paraId="065AB3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1.2制冷量：≥48kw；</w:t>
            </w:r>
          </w:p>
          <w:p w14:paraId="214CBD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1.3制热量：≥53kw；</w:t>
            </w:r>
          </w:p>
          <w:p w14:paraId="3AD591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1.4加湿量：≥18kg；</w:t>
            </w:r>
          </w:p>
          <w:p w14:paraId="3EA955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1.5使用镀锌风管1.0mm厚及保温棉25mm厚：≥42米；</w:t>
            </w:r>
          </w:p>
          <w:p w14:paraId="47D8C5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1.6铜管及过机线、保温棉≥25mm；</w:t>
            </w:r>
          </w:p>
          <w:p w14:paraId="0A0556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1.7内机吊装支吊架一个；</w:t>
            </w:r>
          </w:p>
          <w:p w14:paraId="3CCAA9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1.8电源线采用YJV5*6m㎡同等规格；</w:t>
            </w:r>
          </w:p>
          <w:p w14:paraId="069914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1.9包含安装调试。</w:t>
            </w:r>
          </w:p>
          <w:p w14:paraId="152B49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2.不锈钢解剖台</w:t>
            </w:r>
          </w:p>
          <w:p w14:paraId="55CA38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2.1不锈钢结构（带柜体），规格：约1500*750*850mm；</w:t>
            </w:r>
          </w:p>
          <w:p w14:paraId="69970D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2.2台面外包304#厚度≥1.0mm 不锈钢，整体焊接成型，总厚度为20mm。带可调脚，承载性好，牢固边角打磨光滑无毛刺；</w:t>
            </w:r>
          </w:p>
          <w:p w14:paraId="5612B9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2.3结构：框架以≥40×40mm 的不锈钢方管整体焊接成型；</w:t>
            </w:r>
          </w:p>
          <w:p w14:paraId="338503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2.4不锈钢水盆及水龙头。</w:t>
            </w:r>
          </w:p>
          <w:p w14:paraId="06CF8B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3.器械柜</w:t>
            </w:r>
          </w:p>
          <w:p w14:paraId="04CC61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3.1全木结构；规格：约900*450*1800mm；</w:t>
            </w:r>
          </w:p>
          <w:p w14:paraId="679D03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3.2柜体：采用≥18mm厚高密度板。</w:t>
            </w:r>
          </w:p>
          <w:p w14:paraId="5B6EF7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4.1.5p壁挂机铜管及保温棉</w:t>
            </w:r>
          </w:p>
          <w:p w14:paraId="5D4D8C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5.管道风机：管道排风机≥200CMH/H，换气次数≥5次/H</w:t>
            </w:r>
          </w:p>
          <w:p w14:paraId="2FFD40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6.排风机：管道静音风机，PVC排风管，适配风机口径</w:t>
            </w:r>
          </w:p>
          <w:p w14:paraId="58E6E3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7.高效过滤器</w:t>
            </w:r>
          </w:p>
          <w:p w14:paraId="15D1F7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7.1高效过滤器约1000CMH 484*484*90mm；</w:t>
            </w:r>
          </w:p>
          <w:p w14:paraId="556A26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7.2镀锌手动阀；</w:t>
            </w:r>
          </w:p>
          <w:p w14:paraId="49FA1D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7.3散流板喷涂；</w:t>
            </w:r>
          </w:p>
          <w:p w14:paraId="2F40CA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7.4高效送风箱。</w:t>
            </w:r>
          </w:p>
          <w:p w14:paraId="0C4EA6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8.压差表：微压差表。</w:t>
            </w:r>
          </w:p>
          <w:p w14:paraId="4C6285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9.活性炭净化箱：</w:t>
            </w:r>
          </w:p>
          <w:p w14:paraId="69FDAE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9.1处理风量：在1512-3024CMH之间；</w:t>
            </w:r>
          </w:p>
          <w:p w14:paraId="2E26D5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9.2阻力：≤350PA；</w:t>
            </w:r>
          </w:p>
          <w:p w14:paraId="1B26BD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9.3 PP材质；</w:t>
            </w:r>
          </w:p>
          <w:p w14:paraId="062782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10.离心风机</w:t>
            </w:r>
          </w:p>
          <w:p w14:paraId="4042F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10.1离心风机在2000-2500CMH/H之间，换气次数</w:t>
            </w:r>
            <w:r>
              <w:rPr>
                <w:rFonts w:hint="eastAsia" w:asciiTheme="minorEastAsia" w:hAnsiTheme="minorEastAsia" w:eastAsiaTheme="minorEastAsia" w:cstheme="minorEastAsia"/>
                <w:i w:val="0"/>
                <w:iCs w:val="0"/>
                <w:color w:val="auto"/>
                <w:kern w:val="0"/>
                <w:sz w:val="24"/>
                <w:szCs w:val="24"/>
                <w:highlight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5次/H；</w:t>
            </w:r>
          </w:p>
          <w:p w14:paraId="022233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10.2控制箱及开关；</w:t>
            </w:r>
          </w:p>
          <w:p w14:paraId="3B0BC3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10.3风机吊装支架及固定架；</w:t>
            </w:r>
          </w:p>
          <w:p w14:paraId="0EEEEB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 PVC风管φ200：≥60米；</w:t>
            </w:r>
          </w:p>
          <w:p w14:paraId="76413F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11.止逆阀16个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top"/>
          </w:tcPr>
          <w:p w14:paraId="707B38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top"/>
          </w:tcPr>
          <w:p w14:paraId="764B96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14:paraId="097912FA">
      <w:pPr>
        <w:pStyle w:val="9"/>
        <w:spacing w:line="360" w:lineRule="auto"/>
        <w:ind w:firstLine="480" w:firstLineChars="200"/>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3.2</w:t>
      </w:r>
      <w:r>
        <w:rPr>
          <w:rFonts w:hint="eastAsia" w:ascii="Times New Roman" w:eastAsia="宋体"/>
          <w:b/>
          <w:color w:val="auto"/>
          <w:sz w:val="24"/>
          <w:szCs w:val="24"/>
          <w:highlight w:val="none"/>
          <w:lang w:val="en-US" w:eastAsia="zh-CN"/>
        </w:rPr>
        <w:t>废水处理设备</w:t>
      </w:r>
    </w:p>
    <w:tbl>
      <w:tblPr>
        <w:tblStyle w:val="7"/>
        <w:tblW w:w="4998" w:type="pct"/>
        <w:jc w:val="center"/>
        <w:tblLayout w:type="autofit"/>
        <w:tblCellMar>
          <w:top w:w="0" w:type="dxa"/>
          <w:left w:w="108" w:type="dxa"/>
          <w:bottom w:w="0" w:type="dxa"/>
          <w:right w:w="108" w:type="dxa"/>
        </w:tblCellMar>
      </w:tblPr>
      <w:tblGrid>
        <w:gridCol w:w="457"/>
        <w:gridCol w:w="757"/>
        <w:gridCol w:w="6224"/>
        <w:gridCol w:w="1305"/>
        <w:gridCol w:w="1215"/>
      </w:tblGrid>
      <w:tr w14:paraId="3E602064">
        <w:tblPrEx>
          <w:tblCellMar>
            <w:top w:w="0" w:type="dxa"/>
            <w:left w:w="108" w:type="dxa"/>
            <w:bottom w:w="0" w:type="dxa"/>
            <w:right w:w="108" w:type="dxa"/>
          </w:tblCellMar>
        </w:tblPrEx>
        <w:trPr>
          <w:wAfter w:w="0" w:type="auto"/>
          <w:trHeight w:val="50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E3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bidi="ar"/>
              </w:rPr>
              <w:t>序号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E3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bidi="ar"/>
              </w:rPr>
              <w:t>设备名称</w:t>
            </w:r>
          </w:p>
        </w:tc>
        <w:tc>
          <w:tcPr>
            <w:tcW w:w="3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ED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bidi="ar"/>
              </w:rPr>
              <w:t>技术参数</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8C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eastAsia="zh-CN" w:bidi="ar"/>
              </w:rPr>
              <w:t>单价（元）</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91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eastAsia="zh-CN" w:bidi="ar"/>
              </w:rPr>
              <w:t>总价（元）</w:t>
            </w:r>
          </w:p>
        </w:tc>
      </w:tr>
      <w:tr w14:paraId="1FF5FFDA">
        <w:tblPrEx>
          <w:tblCellMar>
            <w:top w:w="0" w:type="dxa"/>
            <w:left w:w="108" w:type="dxa"/>
            <w:bottom w:w="0" w:type="dxa"/>
            <w:right w:w="108" w:type="dxa"/>
          </w:tblCellMar>
        </w:tblPrEx>
        <w:trPr>
          <w:trHeight w:val="50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B5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40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废水处理设备</w:t>
            </w:r>
          </w:p>
        </w:tc>
        <w:tc>
          <w:tcPr>
            <w:tcW w:w="3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25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1.用途</w:t>
            </w:r>
          </w:p>
          <w:p w14:paraId="5C50DA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对动物疫病检测实验室所产生的实验室综合废水（包括实验室排出的少量药品、化学试剂、试液、残留试剂、容器洗涤、仪器清洗及跑冒滴漏、动物血液、体液、排泄物、药物残留等污染物的废水等）进行全自动处理，处理达标后自动排入市政排污管道。</w:t>
            </w:r>
          </w:p>
          <w:p w14:paraId="1A1BEE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2.技术要求</w:t>
            </w:r>
          </w:p>
          <w:p w14:paraId="7AE0AB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 处理后用途：废水经处理后排入市政污水管网；</w:t>
            </w:r>
          </w:p>
          <w:p w14:paraId="0565AF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 处理水量：≥500L/天（按每天工作10小时计）；</w:t>
            </w:r>
          </w:p>
          <w:p w14:paraId="4AC1CE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 处理后水质标准：废水排放执行国家污水综合排放标准（GB8978-1996）三级排放标准排入公共污水处理系统排放限值。处理后的指标：BOD5≤300、CODcr≤500、SS≤400、pH6-9、NH3-N≤45、TP≤8、TN≤70（单位mg/L）；</w:t>
            </w:r>
          </w:p>
          <w:p w14:paraId="6CAC1B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 电压：220V/380V  50HZ   功率：3.5KW；</w:t>
            </w:r>
          </w:p>
          <w:p w14:paraId="4E40AE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 设备尺寸：≤2000*800*1700mm (主机)∅900*1200mm（收集箱）。</w:t>
            </w:r>
          </w:p>
          <w:p w14:paraId="5C6F280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3.主机</w:t>
            </w:r>
          </w:p>
          <w:p w14:paraId="1969070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3.1主机材质：不锈钢结构，防腐耐用。箱体材质：防酸耐腐蚀PPH一体化焊接水箱，美观大方；</w:t>
            </w:r>
          </w:p>
          <w:p w14:paraId="30901E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3.2主机底板：带静音万向轮，可以移动和锁定。方便设备保养和维修；</w:t>
            </w:r>
          </w:p>
          <w:p w14:paraId="145D55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 动力设备</w:t>
            </w:r>
          </w:p>
          <w:p w14:paraId="55BA76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3.3.1自吸泵1台</w:t>
            </w:r>
          </w:p>
          <w:p w14:paraId="56E69B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3.3.2 曝气泵 1台</w:t>
            </w:r>
          </w:p>
          <w:p w14:paraId="172F00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3.3.3 增压泵 1台 </w:t>
            </w:r>
          </w:p>
          <w:p w14:paraId="47A40E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3.3.4 SEKO加药泵 4台                     </w:t>
            </w:r>
          </w:p>
          <w:p w14:paraId="70A448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4.系统功能</w:t>
            </w:r>
          </w:p>
          <w:p w14:paraId="5548C6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 水质运行检测指标；</w:t>
            </w:r>
          </w:p>
          <w:p w14:paraId="5E0D4B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4.1.1 物理指标：液位、流量、压力；</w:t>
            </w:r>
          </w:p>
          <w:p w14:paraId="1153D9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4.1.2 化学指标：PH。</w:t>
            </w:r>
          </w:p>
          <w:p w14:paraId="09D8E5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 PH传感器</w:t>
            </w:r>
          </w:p>
          <w:p w14:paraId="17B804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4.2.1 检测项目：PH；</w:t>
            </w:r>
          </w:p>
          <w:p w14:paraId="3D94F7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4.2.2 测量范围：0-14ph；</w:t>
            </w:r>
          </w:p>
          <w:p w14:paraId="709C23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4.2.3 准确度：±0.2 pH；</w:t>
            </w:r>
          </w:p>
          <w:p w14:paraId="2302EF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4.2.4 分辨率：≤0.1pH；</w:t>
            </w:r>
          </w:p>
          <w:p w14:paraId="72FBE7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4.2.5 稳定性：≤ 0.02 pH/24小时；</w:t>
            </w:r>
          </w:p>
          <w:p w14:paraId="4BE81C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4.2.6 pH标准溶液：4.01/6.86/9.18 。</w:t>
            </w:r>
          </w:p>
          <w:p w14:paraId="6DF851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 通过在线PH仪表控制加药泵的运行和停止，具有迟滞量设置功能。</w:t>
            </w:r>
          </w:p>
          <w:p w14:paraId="22D3E4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 通过液位传感器控制增压泵、加药泵的运行和停止。</w:t>
            </w:r>
          </w:p>
          <w:p w14:paraId="4D9072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4.5设备收集装置，收集装置容积不小于处理量的1/3，用于保证系统水质、水量的稳定，同时废水自中和，减少酸碱药剂的使用量，更环保。</w:t>
            </w:r>
          </w:p>
          <w:p w14:paraId="30F685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4.6配置高级电化学催化氧化装置，主要用于降解有机污染物、除色、除味等。</w:t>
            </w:r>
          </w:p>
          <w:p w14:paraId="0C98C0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4.7配置二级生物吸附复合过滤装置，用于去除水中的悬浮物、胶体、重金属等杂质及细菌、病毒等污染物。</w:t>
            </w:r>
          </w:p>
          <w:p w14:paraId="7675BF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 配置深度消毒装置，用于真正高效、广泛、安全的强力灭菌。</w:t>
            </w:r>
          </w:p>
          <w:p w14:paraId="574776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4.9设备系统具备全能自动启停功能，无需定时开关机，实验室额外工作加班，设备正常运行。</w:t>
            </w:r>
          </w:p>
          <w:p w14:paraId="0EE0C2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4.10设备具有远程WIFI控制功能，实验室远程手机监视操作设备功能，保证设备正常稳定运行。</w:t>
            </w:r>
          </w:p>
          <w:p w14:paraId="58D824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4.11设备系统具备自动保护运行能力，以确保设备系统元器件的可靠性及寿命。</w:t>
            </w:r>
          </w:p>
          <w:p w14:paraId="14F816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4.12设备备采用一体式、模块化设计，结构紧凑占地面积小；相关系统组件全部为快开式活接连接，方便保养和检修。</w:t>
            </w:r>
          </w:p>
          <w:p w14:paraId="1ECC2A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4.13采用国内成熟产品，要求设备间无土建的实验室废水处理一体化成套设备。</w:t>
            </w:r>
          </w:p>
          <w:p w14:paraId="67A516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5.控制系统功能</w:t>
            </w:r>
          </w:p>
          <w:p w14:paraId="0B9BAB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系统采用先进的智能组件和PLC加触摸屏人机界面技术，设备需具备实验室综合废水处理系统软件及相关软件测试报告。提供相关证明材料及技术资信证明。设备具有远程WIFI控制功能，实验室远程手机监视操作设备功能，保证设备正常稳定运行。</w:t>
            </w:r>
          </w:p>
          <w:p w14:paraId="0FC927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5.2全自动PLC控制系统，LED全中文操作页面，能够实时显示仪器的运行状态信息。</w:t>
            </w:r>
          </w:p>
          <w:p w14:paraId="7236D7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5.3报警功能：具有系统故障、断电、无水、数值超标异常等情况下的自动报警功能。</w:t>
            </w:r>
          </w:p>
          <w:p w14:paraId="7BA9A5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 远程控制功能（标配）：远程监控：只需有WIFI，就能①远程访问系统；②远程管理；③远程控制等。</w:t>
            </w:r>
          </w:p>
          <w:p w14:paraId="75F98F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6.安全性能：</w:t>
            </w:r>
          </w:p>
          <w:p w14:paraId="7ACB08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6.1设有液位过高过低、过载等非正常状态自动保护、自动识别故障报警及处理功能。</w:t>
            </w:r>
          </w:p>
          <w:p w14:paraId="14EEEA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6.2开机自检、缺水保护报警、高低压自动停机、停电自动复位；保护并处理。</w:t>
            </w:r>
          </w:p>
          <w:p w14:paraId="5A0EF6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6.3需有溢流功能，以确保突发情况时不影响正常实验。</w:t>
            </w:r>
          </w:p>
          <w:p w14:paraId="68CF4E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7.系统配置</w:t>
            </w:r>
          </w:p>
          <w:p w14:paraId="718101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7.1实验室综合废水处理设备           1台</w:t>
            </w:r>
          </w:p>
          <w:p w14:paraId="230DFA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7.2处理药剂                         1套</w:t>
            </w:r>
          </w:p>
          <w:p w14:paraId="22019B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 操作说明、合格证等              1套</w:t>
            </w:r>
          </w:p>
          <w:p w14:paraId="48CEEE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b w:val="0"/>
                <w:bCs w:val="0"/>
                <w:color w:val="auto"/>
                <w:kern w:val="0"/>
                <w:sz w:val="24"/>
                <w:szCs w:val="24"/>
                <w:highlight w:val="none"/>
                <w:lang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 配套软件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66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58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14:paraId="5E230B2F">
      <w:pPr>
        <w:bidi w:val="0"/>
      </w:pPr>
    </w:p>
    <w:tbl>
      <w:tblPr>
        <w:tblStyle w:val="7"/>
        <w:tblW w:w="4999" w:type="pct"/>
        <w:jc w:val="center"/>
        <w:tblLayout w:type="autofit"/>
        <w:tblCellMar>
          <w:top w:w="0" w:type="dxa"/>
          <w:left w:w="108" w:type="dxa"/>
          <w:bottom w:w="0" w:type="dxa"/>
          <w:right w:w="108" w:type="dxa"/>
        </w:tblCellMar>
      </w:tblPr>
      <w:tblGrid>
        <w:gridCol w:w="909"/>
        <w:gridCol w:w="1293"/>
        <w:gridCol w:w="7758"/>
      </w:tblGrid>
      <w:tr w14:paraId="23B0446B">
        <w:tblPrEx>
          <w:tblCellMar>
            <w:top w:w="0" w:type="dxa"/>
            <w:left w:w="108" w:type="dxa"/>
            <w:bottom w:w="0" w:type="dxa"/>
            <w:right w:w="108" w:type="dxa"/>
          </w:tblCellMar>
        </w:tblPrEx>
        <w:trPr>
          <w:trHeight w:val="500" w:hRule="atLeast"/>
          <w:jc w:val="center"/>
        </w:trPr>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F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93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废水处理设备</w:t>
            </w:r>
          </w:p>
        </w:tc>
        <w:tc>
          <w:tcPr>
            <w:tcW w:w="3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AC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1.技术要求</w:t>
            </w:r>
          </w:p>
          <w:p w14:paraId="504A46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控制模式：PLC全自动控制，可以远程同时可手动操作。内置远程控制模块，可≥7天/24小时全天候监控及远程操作设备主机。可以通过电脑、手机、平板电脑等电子设备远程访问主机；设备具有厂商模式和用户模式两种状态，方便厂家工程师通过厂商模式查看设备运行状态。</w:t>
            </w:r>
          </w:p>
          <w:p w14:paraId="711418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 处理工艺：“废水收集→酸碱中和pH调节→混凝沉降→斜板沉淀→高级电化学催化氧化装置→二级生物吸附过滤→光催化氧化系统→深度消毒系统→达标排放”。                   </w:t>
            </w:r>
          </w:p>
          <w:p w14:paraId="7953A8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2.系统功能</w:t>
            </w:r>
          </w:p>
          <w:p w14:paraId="5F88BF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▲(1)配置pH调节装置，通过传感器在线监控水质，根据需要添加相应药剂，完成水质酸碱度控制，同时系统具有根据pH值自动调整加药速度的功能，以确保pH调节效率和效果，</w:t>
            </w:r>
            <w:r>
              <w:rPr>
                <w:rFonts w:hint="eastAsia" w:ascii="宋体" w:hAnsi="宋体" w:eastAsia="宋体" w:cs="宋体"/>
                <w:i w:val="0"/>
                <w:iCs w:val="0"/>
                <w:color w:val="auto"/>
                <w:kern w:val="0"/>
                <w:sz w:val="24"/>
                <w:szCs w:val="24"/>
                <w:highlight w:val="none"/>
                <w:u w:val="none"/>
                <w:lang w:val="en-US" w:eastAsia="zh-CN" w:bidi="ar"/>
              </w:rPr>
              <w:t>设备需具有一种实验室水酸碱中和处理设备技术专利证明文件。</w:t>
            </w:r>
          </w:p>
          <w:p w14:paraId="53940C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此设备为一体化实验室污水处理设备，主要用于对实验室所产生的实验室综合废水进行全自动处理，</w:t>
            </w:r>
            <w:r>
              <w:rPr>
                <w:rFonts w:hint="eastAsia" w:ascii="宋体" w:hAnsi="宋体" w:eastAsia="宋体" w:cs="宋体"/>
                <w:i w:val="0"/>
                <w:iCs w:val="0"/>
                <w:color w:val="auto"/>
                <w:kern w:val="0"/>
                <w:sz w:val="24"/>
                <w:szCs w:val="24"/>
                <w:highlight w:val="none"/>
                <w:u w:val="none"/>
                <w:lang w:val="en-US" w:eastAsia="zh-CN" w:bidi="ar"/>
              </w:rPr>
              <w:t>需要提供相关专利证明文件。</w:t>
            </w:r>
          </w:p>
          <w:p w14:paraId="32E0F2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3.安全性能：</w:t>
            </w:r>
          </w:p>
          <w:p w14:paraId="5F919D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b w:val="0"/>
                <w:bCs w:val="0"/>
                <w:color w:val="auto"/>
                <w:kern w:val="0"/>
                <w:sz w:val="24"/>
                <w:szCs w:val="24"/>
                <w:highlight w:val="none"/>
                <w:lang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▲6.1多种全自动应急操作方式，实现多种控制模式，保证系统正常运行，设备需要具备实验室污水处理系统、一体化废水操作系统、污水处理检测软件</w:t>
            </w:r>
            <w:r>
              <w:rPr>
                <w:rFonts w:hint="eastAsia" w:ascii="宋体" w:hAnsi="宋体" w:eastAsia="宋体" w:cs="宋体"/>
                <w:i w:val="0"/>
                <w:iCs w:val="0"/>
                <w:color w:val="auto"/>
                <w:kern w:val="0"/>
                <w:sz w:val="24"/>
                <w:szCs w:val="24"/>
                <w:highlight w:val="none"/>
                <w:u w:val="none"/>
                <w:lang w:val="en-US" w:eastAsia="zh-CN" w:bidi="ar"/>
              </w:rPr>
              <w:t>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r>
    </w:tbl>
    <w:p w14:paraId="7CD31438">
      <w:pPr>
        <w:pStyle w:val="9"/>
        <w:spacing w:line="360" w:lineRule="auto"/>
        <w:rPr>
          <w:rFonts w:hint="eastAsia"/>
          <w:color w:val="auto"/>
          <w:sz w:val="24"/>
          <w:szCs w:val="24"/>
          <w:highlight w:val="none"/>
          <w:lang w:val="en-US" w:eastAsia="zh-CN"/>
        </w:rPr>
      </w:pPr>
    </w:p>
    <w:p w14:paraId="18A28F4B">
      <w:pPr>
        <w:pStyle w:val="9"/>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采购包2(</w:t>
      </w:r>
      <w:r>
        <w:rPr>
          <w:rFonts w:hint="eastAsia"/>
          <w:color w:val="auto"/>
          <w:sz w:val="24"/>
          <w:szCs w:val="24"/>
          <w:highlight w:val="none"/>
          <w:lang w:eastAsia="zh-CN"/>
        </w:rPr>
        <w:t>兽医实验室监测试剂及耗材</w:t>
      </w:r>
      <w:r>
        <w:rPr>
          <w:color w:val="auto"/>
          <w:sz w:val="24"/>
          <w:szCs w:val="24"/>
          <w:highlight w:val="none"/>
        </w:rPr>
        <w:t>):</w:t>
      </w:r>
      <w:bookmarkStart w:id="0" w:name="_GoBack"/>
      <w:bookmarkEnd w:id="0"/>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536"/>
        <w:gridCol w:w="696"/>
        <w:gridCol w:w="456"/>
        <w:gridCol w:w="4422"/>
        <w:gridCol w:w="1186"/>
        <w:gridCol w:w="1204"/>
      </w:tblGrid>
      <w:tr w14:paraId="1AB5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BB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D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商品名称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7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4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单位</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B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技术参数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B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单价（元）</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9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总价（元）</w:t>
            </w:r>
          </w:p>
        </w:tc>
      </w:tr>
      <w:tr w14:paraId="5D5A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A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B8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C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9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91AE">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适用范围：用于猪全血、血清、脾脏、淋巴结、肌肉等组织样品及粪便样品中非洲猪瘟病毒DNA的检测。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规格：≥48份/盒。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非洲猪瘟病毒核酸阳性；被检样品无Ct值或Ct值≥40且无特异的扩增曲线，判为非洲猪瘟病毒核酸阴性；被检样品35＜Ct值＜40并出现特异的扩增曲线，判为非洲猪瘟病毒核酸疑似，对疑似样品，需重新取样提取DNA，按双倍模板量进行复检，Ct值＜40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保存条件与有效期：蛋白酶K、无菌无核酸酶水、PCR扩增反应液、实时荧光混合液、阳性对照和阴性对照，有效期≥9个月。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EB1EE">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BB3C">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100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6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8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40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A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9B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作用与用途：用于全血、血清、淋巴结、脾脏、肾脏、扁桃体、肺、肌肉、环境样品等样品中非洲猪瘟病毒核酸的检测。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规格：≥48份/盒。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结果成立条件：阳性对照的Ct值应＜35且出现特异性扩增曲线，阴性对照应无Ct值或Ct值≥40且无特异性扩增曲线，试验结果有效。否则应重新进行试验。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结果判断：被检样品Ct值＜40且出现特异性扩增曲线，判为阳性；当无Ct值或Ct值≥40，判为阴性。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有效期：有效期≥9个月。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21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4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7AA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0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16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3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9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A7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适用范围：用于猪全血、血清、脾脏、淋巴结、肌肉等组织样品及粪便样品中非洲猪瘟病毒DNA的检测。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规格：≥48份/盒。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无Ct值或Ct值≥40且无特异的扩增曲线，判为阴性；被检样品35＜Ct值＜40并出现特异的扩增曲线，判为非洲猪瘟病毒核酸疑似，对疑似样品，需重新取样，进行复检，Ct值＜40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有效期≥9个月。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65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C6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4D1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D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F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猪瘟病毒通用型实时荧光RT-PCR检测试剂盒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1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5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09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适用范围：用于检测猪扁桃体、淋巴结等组织和血清中的猪瘟病毒（CSFV）的RNA，适用于CSFV的检测、诊断和流行病学调查。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F7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56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CE3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E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2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猪瘟病毒经典型荧光RT-PCR 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98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2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51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适用范围：用于检测猪扁桃体、淋巴结等组织和血清中的猪瘟病毒经典型的RNA，适用于猪瘟病毒经典型的检测、诊断和流行病学调查。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C4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24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076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F0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0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猪蓝耳病病毒通用型荧光RT-PCR 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7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B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E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适用范围：用于检测猪肺、扁桃体、脑组织和血清中的猪蓝耳病病毒（PRRSV）的RNA，适用于PRRSV的检测、诊断和流行病学调查。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94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26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3A5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A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A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猪蓝耳病病毒高致病型荧光RT-PCR检测试剂盒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24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86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9D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适用范围：本试剂盒采用实时荧光RT-PCR方法检测猪肺、扁桃体、脑组织和血清中的高致病型猪繁殖与呼吸综合征病毒（HP-PRRSV）的RNA。适用于我国所有HP-PRRSV流行毒株的诊断、检测和流行病学调查。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PRRSV阳性；被检样品Ct值≥37时，超过本方法检测灵敏度范围，判定为阴性。对于某些未呈现S型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7E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2B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DAD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5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22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猪蓝耳病病毒高致病型荧光RT-PCR检测试剂盒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9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8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4472">
            <w:pPr>
              <w:keepNext w:val="0"/>
              <w:keepLines w:val="0"/>
              <w:pageBreakBefore w:val="0"/>
              <w:widowControl/>
              <w:suppressLineNumbers w:val="0"/>
              <w:kinsoku/>
              <w:wordWrap/>
              <w:overflowPunct/>
              <w:topLinePunct w:val="0"/>
              <w:autoSpaceDE/>
              <w:autoSpaceDN/>
              <w:bidi w:val="0"/>
              <w:adjustRightInd/>
              <w:snapToGrid/>
              <w:spacing w:line="300" w:lineRule="exact"/>
              <w:ind w:firstLine="1440" w:firstLineChars="6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适用范围：用于检测猪肺、扁桃体、脑组织和血清中的高致病型猪蓝耳病病毒（HP-PRRSV）的RNA，适用于HP-PRRSV的检测、诊断和流行病学调查。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p>
          <w:p w14:paraId="0FCEBB6F">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B3D0">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8215">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3D0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63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69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伪狂犬病病毒通用型荧光PCR检测试剂盒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9E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B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DA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适用范围：本试剂盒采用实时荧光PCR方法检测猪血清、组织和精液中的猪伪狂犬病毒gB基因，适用于PRV野毒感染或感染过含有gB抗原的疫苗的诊断、检测和流行病学调查。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结果成立条件：阳性对照Ct值≤30并出现特定的扩增曲线，阴性对照无Ct值并且无特定扩增曲线，实验结果成立。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定的扩增曲线为PRV阳性；被检样品Ct值≥35时，超过本方法检测灵敏度范围，判定为阴性。对于某些未呈现S型曲线，但本底较高的样品，应判定为阴性；被检样品30＜Ct＜35并出现特定的扩增曲线，需重新取样提取DNA，扩增后进行结果判定，如仍是可疑，则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D6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ED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24C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1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4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猪瘟病毒、猪蓝耳病病毒、猪伪狂犬病病毒、猪圆环病毒2型四重荧光RT-PCR检测试剂盒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9E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29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扁桃体、淋巴结、脾脏等组织和血清中的猪瘟病毒（CSFV）、猪蓝耳病病毒（PRRSV）、猪伪狂犬病病毒（PRV）和猪圆环病毒2型（PCV-2）的核酸，适用于CSFV、PRRSV、PRV和PCV-2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FAM检测通道对应猪瘟病毒（CSFV），HEX检测通道对应猪蓝耳病病毒（PRRSV），ROX检测通道对应猪伪狂犬病病毒（PRV），Cy5检测通道对应猪圆环病毒2型（PCV-2），四个检测通道均按如下规则分别判定所对应病毒的检测结果：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A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2C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0AD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3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3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口蹄疫病毒通用型实时荧光RT-PCR检测试剂盒（B扩增）</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F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5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33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适用范围：用于检测偶蹄动物血清、水疱皮、水疱液及OP液中的口蹄疫病毒（FMDV）的RNA，适用于FMDV的检测、诊断和流行病学调查。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4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3C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E43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E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4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口蹄疫病毒O型实时荧光RT-PCR检测试剂盒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D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8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2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适用范围：本试剂盒采用实时荧光RT-PCR方法检测偶蹄动物血清、水疱皮、水疱液及OP液中的口蹄疫病毒O型（FMDV-O）的RNA。适用于FMDV-O型的诊断、检测和流行病学调查。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口蹄疫病毒O型阳性；被检样品Ct值≥35为阴性。对于某些未呈现时，超过本方法检测灵敏度范围，判定S型曲线，但本底较高的样品，应判定为阴性；被检样品30＜Ct＜35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A1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16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B0E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5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C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口蹄疫病毒O型实时荧光RT-PCR检测试剂盒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1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C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7D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适用范围：用于检测偶蹄动物血清、水疱皮、水疱液及OP液中的口蹄疫病毒O型（FMDV-O）的RNA，适用于FMDV-O的检测、诊断和流行病学调查。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2C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01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B5E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B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2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口蹄疫病毒A型实时荧光RT-PCR检测试剂盒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6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B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18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适用范围：本试剂盒采用实时荧光RT-PCR方法检测偶蹄动物血清、水疱皮、水疱液及OP液中的口蹄疫病毒A型（FMDV-A）的RNA。适用于FMDV-A型的诊断、检测和流行病学调查。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口蹄疫病毒A型阳性；被检样品Ct值≥37时，超过本方法检测灵敏度范围，判定为阴性。对于某些未呈现特异性扩增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84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FE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912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C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8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口蹄疫病毒A型实时荧光RT-PCR检测试剂盒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9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0D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68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适用范围：用于检测偶蹄动物血清、水疱皮、水疱液及OP液中的口蹄疫病毒A型（FMDV-A）的RNA，适用于FMDV-A的检测、诊断和流行病学调查。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3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E7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61D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2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2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小反刍兽疫病毒荧光PCR检测试剂盒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8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8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23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疑似感染动物的眼鼻分泌物、鼻咽拭子和抗凝血（病毒血症期）以及剖检动物的脾脏、肺脏、淋巴结（肠道或肺门）和肠中的小反刍兽疫病毒（PPRV）的RNA，适用于PPR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PPRV阳性；被检样品Ct值≥37时，超过本方法检测灵敏度范围，判定为阴性。对于某些未呈现特异性扩增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07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C2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EE8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B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B1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小反刍兽疫病毒荧光PCR检测试剂盒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5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0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B1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疑似感染动物的眼鼻分泌物、鼻咽拭子和抗凝血（病毒血症期）以及剖检动物的脾脏、肺脏、淋巴结（肠道或肺门）和肠中的小反刍兽疫病毒（PPRV）的RNA，适用于PPR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A6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F8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E5E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9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8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狂犬病病毒实时荧光RT-PCR试剂盒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7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77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适用范围：用于组织样品、唾液或脑脊髓液中狂犬病毒的检测。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待测样本检测结果Ct≤30并出现特异性扩增曲线，判为狂犬病毒核酸阳性；待测样本Ct值≥36时，超过本方法检测灵敏度范围，判为狂犬病毒核酸阴性；对于某些未呈现S型曲线，但本底较高的样品，判为狂犬病毒核酸阴性；待测样本30＜Ct＜36并出现特异性扩增曲线，需重新提取RNA,扩增后进行结果判定，如仍是可疑，可判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59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20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77E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2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6B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牛结核分枝杆菌(MB)核酸检测试剂盒(荧光PCR法)</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F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5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32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适用范围：用于检测痰、尿粪、乳汁、淋巴结、肺脏组织中的牛结核分枝杆菌的DNA，适用于牛结核分枝杆菌的检测、诊断和流行病学调查。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3F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FB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B45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8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36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牛结节性皮肤病病毒实时荧光PCR检测试剂盒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E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49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A1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适用范围：用于检测牛鼻腔液、鼻腔拭子、皮肤、肺、淋巴结、肌肉等组织样本或血液中的牛结节性皮肤病（LSDV）的DNA，适用于LSDV的检测、诊断和流行病学调查。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23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91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971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6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4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牛传染性胸膜肺炎（CBPP）核酸检测试剂盒（荧光PCR法）</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7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9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1F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适用范围：用于检测组织脏器样本研磨悬液、组织培养物、血清及拭子等牛传染性胸膜肺炎的DNA，适用于牛传染性胸膜肺炎的检测、诊断和流行病学调查。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BF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83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053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4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6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禽流感病毒通用型荧光PCR检测试剂盒（B扩增）</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F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DA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F1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适用范围：用于检测禽组织、分泌物、排泄物及尿囊液中所有亚型的禽流感病毒（AIV）的RNA，适用于AIV的检测、诊断和流行病学调查。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A6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D3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7EC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79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B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禽流感病毒H5亚型荧光PCR检测试剂盒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F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B8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适用范围：本试剂盒采用实时荧光RT-PCR方法检测禽组织、分泌物、排泄物及尿囊液中禽流感病毒H5亚型（AIV-H5）的RNA，适用于AIV-H5的检测、诊断和流行病学调查。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AIV-H5阳性；被检样品Ct值≥37时，超过本方法检测灵敏度范围，判定为阴性。对于某些未呈现特异性扩增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C2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3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7BC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B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4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禽流感病毒H5亚型荧光PCR检测试剂盒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F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2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D7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适用范围：用于检测禽组织、分泌物、排泄物及尿囊液中的禽流感病毒H5亚型（AIV-H5）的RNA，适用于AIV-H5的检测、诊断和流行病学调查。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27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41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EF1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D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5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禽流感病毒H7亚型荧光PCR检测试剂盒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1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F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DA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适用范围：用于多种样本（如肌肉、脏器、咽喉拭子/泄殖腔拭子、血清或血浆、组织渗出液等）中的禽流感病毒H7亚型核酸的检测。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结果成立条件：阴性对照无Ct值并且无扩增曲线，阳性对照的Ct值应≤32，并出现典型的扩增曲线。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Ct值≤34，且出现典型的扩增曲线，表示样品为阳性；无Ct值，且无特征性扩增曲线，表明样品为阴性；Ct值＞34，且出现典型的扩增曲线的样品建议复验。复验仍出现上述结果的，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试剂组成：荧光RT-PCR反应液、酶混合物、阴性对照、阳性对照、说明书。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B4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7E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2A1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5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B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禽流感病毒H9亚型荧光PCR检测试剂盒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B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BC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适用范围：本试剂盒采用实时荧光RT-PCR方法检测禽组织、分泌物、排泄物及尿囊液中的禽流感病毒H9亚型（AIV-H9）的RNA，适用于AIV-H9的检测、诊断和流行病学调查。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AIV-H9阳性；被检样品Ct值≥37时，超过本方法检测灵敏度范围，判定为阴性。对于某些未呈现特异性扩增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D9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FA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C66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F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6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禽流感病毒H9亚型荧光PCR检测试剂盒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A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E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3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适用范围：用于检测禽组织、分泌物、排泄物及尿囊液中的禽流感病毒H9亚型（AIV-H9）的RNA，适用于AIV-H9的检测、诊断和流行病学调查。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C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FA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849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1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45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新城疫病毒荧光PCR检测试剂盒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0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F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CC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适用范围：本试剂盒采用实时荧光RT-PCR方法检测检测禽血清、组织、呼吸道分泌物中的新城疫病毒（NDV）的RNA，适用于NDV的检测、诊断和流行病学调查。该试剂盒不能用于区分强弱毒。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结果成立条件：阳性对照Ct值≤30并出现特异性扩增曲线，阴性对照无Ct值并且无特异性扩增曲线，实验结果成立。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30并出现特异性扩增曲线为NDV阳性；被检样品Ct值≥37时，超过本方法检测灵敏度范围，判定为阴性。对于某些未呈现特异性扩增曲线，但本底较高的样品，应判定为阴性；被检样品30＜Ct＜37并出现特异性扩增曲线，需重新取样提取RNA，扩增后进行结果判定，如仍是可疑，可判定为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试剂盒组分：阴性对照、阳性对照、无菌无核酸酶水、RT-PCR反应液、酶混合液、荧光探针、说明书。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E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C1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E90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5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27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新城疫病毒荧光PCR检测试剂盒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8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9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45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适用范围：用于检测禽血清、组织、呼吸道分泌物中的新城疫病毒（NDV）的RNA，适用于NDV的检测、诊断和流行病学调查。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规格：≥50份/盒。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结果成立条件：阳性对照Ct值≤30并出现特异的扩增曲线，阴性对照无Ct值且无特异的扩增曲线，试验结果成立。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被检样品Ct值≤35并出现特异的扩增曲线，判为阳性；被检样品Ct值≥37，超过本方法检测灵敏度范围，或者无Ct值，判为阴性。对于某些未呈现特异的扩增曲线，但本底较高的样品，也判定为阴性；被检样品35＜Ct值＜37并出现特异的扩增曲线，需重新提取核酸进行复检，复检Ct值＜37并出现特异的扩增曲线判为阳性，否则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反应体系：总反应体系≥20uL。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试剂组成：RT-PCR反应液、引物探针混合液、阴性对照、阳性对照、说明书。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8B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F7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A02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5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5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非洲猪瘟病毒阻断ELISA抗体检测试剂盒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15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8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48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适用范围：用于检测猪血清中的非洲猪瘟病毒P30抗体。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包装规格：≥192T/盒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试剂盒组分：抗原包被板、阴性对照血清、阳性对照血清、酶标抗体、20×洗涤液、底物溶液、终止液。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阈值计算：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①阳性对照血清阻断率即PBPC=100-ODPC/ODCm×100。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②阴性对照血清阻断率即PBNC=100-ODNC/ODCm×100。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③待检血清阻断率即PBS=100-ODS/ODCm×100。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试验成立条件：PBNC＜30且PBPC＞70，试验结果有效。否则，重新进行试验。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结果判定：在试验成立的前提下，待检血清阻断率即PBS＞50，结果判为阳性。PBS≤50，结果判为阴性。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A1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3F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5F1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4F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2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猪瘟病毒抗体ELISA检测试剂盒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E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7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9D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适用范围：用于检测猪血清中猪瘟病毒抗体。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规格：≥96T/盒。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结果成立条件：①两孔阴性对照OD450平均值应≤0.20。②两孔阳性对照OD450平均值应≥0.80。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断：样品OD450值＞阳性对照OD450平均值×0.3，即CSFV抗体阳性；样品OD450值＜阳性对照OD450平均值×0.25，即CSFV抗体阴性；阳性对照OD450平均值×0.3≥样品OD450值≥阳性对照OD450平均值×0.25，应再进行双孔复试，若任意一孔或两孔均为阳性，则视为CSFV抗体阳性。若两孔均为阴性，则视为CSFV抗体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试剂组成：抗原包被板、20倍浓缩洗涤液、阴性对照、阳性对照、样品稀释液、酶结合物液、底物液、终止液、一次性封板膜、自封袋(干燥剂)、说明书。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98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3B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429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E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F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猪伪狂犬病毒gE竞争ELISA抗体检测试剂盒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6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4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13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适用范围：适用于检测猪血清中伪狂犬病病毒gE蛋白抗体。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包装规格：≥192T/盒。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产品组分：抗原包被板，样本稀释液，酶标记物，阴性对照，阳性对照，底物显色液，终止液，20倍浓缩洗涤液，血清稀释板，说明书。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试验成立条件：阳性对照OD630nm值均应≤0.4，阴性对照OD630nm平均值与阳性对照OD630nm平均值之差≥0.5。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结果判定：如果样品 S/N 比值≤0.35，该样品判为阳性；如果样品 S/N 比值＞0.4，该样品判为阴性；如果样品 S/N 比值≤0.4 但＞0.35，该样品判为可疑，可间隔2周后重新采样检测。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有效期≥10个月。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E5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4E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9E9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B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7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口蹄疫病毒O型竞争ELISA抗体检测试剂盒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F8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8C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19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适用范围：用于检测猪、牛、羊等动物血清中的口蹄疫病毒O型抗体。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包装规格：≥96T×5板/盒。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试剂盒组分：口蹄疫0型酶标反应板、25倍PBST浓缩液、样品稀释液、阴性对照血清、阳性对照血清、0型酶标抗体工作液、底物溶液、终止液、说明书。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结果判定：猪血清抗体效价大于等于1：64，牛、羊血清抗体效价大于等于1：128，判为口蹄疫0型抗体阳性。猪血清抗体效价小于1：64，牛、羊血清抗体效价小于1：128，判为口蹄疫0型抗体阴性。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22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8C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BDB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2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0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口蹄疫病毒A型竞争ELISA抗体检测试剂盒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8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F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99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适用范围：用于检测猪、牛、羊等动物血清中的口蹄疫病毒A型抗体。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包装规格：≥96T×5板/盒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试剂盒组分：口蹄疫A型酶标反应板、25倍PBST浓缩液、样品稀释液、阴性对照血清、阳性对照血清、A型酶标抗体工作液、底物溶液、终止液、说明书。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结果判定：猪血清抗体效价大于等于1：90，牛、羊血清抗体效价大于等于1：128，判为口蹄疫A型抗体阳性。猪血清抗体效价小于1：90，牛、羊血清抗体效价小于1：128，判为口蹄疫A型抗体阴性。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CD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4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9CF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E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D1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小反刍兽疫病毒抗体单抗阻断ELISA检测试剂盒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AF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9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34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适用范围：本试剂盒采用阻断ELISA，用于检测山羊和绵羊血清样品中的小反刍兽疫病毒（PPRV）抗体。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规格：≥96T/盒。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试剂组分：抗原包被板、20倍浓缩洗涤液、阴性对照、阳性对照、酶结合物液、样品稀释液、底物液、终止液、一次性封板膜、自封袋(干燥剂)、说明书。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试验成立条件：NC＞0.500；PC/NC×100%≤40%。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结果判定：Inh%≥40%，样品应判为PPRV抗体阳性；Inh%＜40%，样品应判为PPRV抗体阴性。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64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1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B91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C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B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犬狂犬病抗体ELISA检测试剂盒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A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B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D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适用范围：本品系由狂犬病毒抗原包被的微孔板和辣根过氧化物酶标记的葡萄球菌A蛋白及其它试剂配套组成，可用于犬、猫等哺乳动物血清中的抗狂犬病毒IgG抗体检测。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规格：≥96T/盒。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试剂组分：预包被狂犬病毒抗原的微孔板、酶标记物、狂犬病毒IgG阳性对照、狂犬病毒IgG临界对照、狂犬病毒IgG阴性对照、显色液、浓缩洗涤液（20倍）、样品稀释液、终止液、说明书。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试验成立条件：阴性对照A值≤0.15，0.20≤临界对照A值平均值≤0.80，临界对照A值平均值／阴性对照A值平均值≥2.0阳性对照A值＞临界对照A值平均值，证明实验成立，否则试验结果无效，需重新试验。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①阳性：样品A值/临界对照A值平均值（S/CO）≥1.0。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②阴性：样品A值/临界对照A值平均值（S/CO）＜1.0。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E9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2C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8A4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F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D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猪流感H3N2抗体ELISA检测试剂盒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3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C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7027">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规格：≥192T/盒。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试剂组分：抗原包被板、对照包被板、阳性对照、阴性对照、1500X酶标二抗、稀释液A、稀释液B、20X洗板液、底物 、终止液、说明书。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有效性：阴性对照校正值的PP值必须小于0.4，阳性抗原孔OD值-阳性对照孔OD值必须大于0.6。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结果判定：样品的PP值小于0.4，样品血清中抗体阴性；样品的PP值大于等于0.4，样品血清中抗体阳性。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4F2B">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0716">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205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3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9D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布鲁氏菌病试管凝集试验抗原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9C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6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8A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作用与用途：用于试管凝集试验诊断布氏菌病。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形状：抗原为均匀悬浮液，久置后为透明清亮液体，底部有少量菌体沉淀。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成分：抗原主要成分为布氏菌S2株(CVCC70502)或S2和A99株(CVCC70502和CVCC70203)，含量为与1:1000稀释阳性血清国家标准品出现++试管凝集反应。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规格：≥20ml／瓶。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C8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2C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252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E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C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布鲁氏菌病虎红平板凝集试验抗原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0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4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7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作用与用途：用于虎红平板凝集试验诊断布氏菌病。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形状：均匀悬浮液，久置后，上部澄清，底部有少量沉淀。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成分：本品主要成分为布氏菌S2株（CVCC70502）或S2和A99株（CVCC70502和CVCC70203），含量为与1：45稀释阳性血清国家标准品出现平板凝集反应，与1：55稀释阳性血清国家标准品不出现平板凝集反应。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规格：≥20ml／瓶。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C0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38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18B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0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3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禽流感H5亚型（最新毒株)血凝抑制抗原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E8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61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A4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作用与用途：用于HI试验检测禽流感病毒H5亚型抗体。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形状：白色或淡黄色海绵状疏松团块。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成分：抗原为灭活的H5亚型禽流感病毒，血凝效价≥7log2。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55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11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F1B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2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F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禽流感病毒血凝抑制试验阳性血清H5亚型（最新毒株）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E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2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9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作用与用途：用于HI试验检测禽流感病毒H5亚型抗体。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形状：微黄色或淡红色海绵状疏松团块。易与瓶壁脱离，加稀释液后迅速溶解。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成分：SPF鸡感染禽流感病毒H5亚型制备的高免血清，HI效价≥7log2。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57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CA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5AB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5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2E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禽流感H7N9亚型（最新毒株）血凝抑制抗原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30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55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99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作用与用途：用于HI试验检测禽流感病毒H7亚型抗体。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形状：白色或淡黄色海绵状疏松团块。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成分：抗原为灭活的H7亚型禽流感病毒，血凝效价≥7log2。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CB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2A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C7F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5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7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禽流感病毒血凝抑制试验阳性血清H7亚型（最新毒株）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B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70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05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作用与用途：用于HI试验检测禽流感病毒H7亚型抗体。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形状：微黄色或淡红色海绵状疏松团块。易与瓶壁脱离，加稀释液后迅速溶解。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成分：SPF鸡感染禽流感病毒H7亚型制备的高免血清，HI效价≥7log2。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BE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91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D06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7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09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禽流感病毒血凝抑制试验阳性血清H9亚型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8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A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FE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作用与用途：用于HI试验检测禽流感病毒H9亚型抗体。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形状：白色或淡黄色海绵状疏松团块。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成分：灭活的H9亚型禽流感病毒，血凝效价≥7log2。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3F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73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6D5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3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B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禽流感H9亚型（最新毒株）血凝抑制抗原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F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D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82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作用与用途：用于HI试验检测禽流感病毒H9亚型抗体。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形状：微黄色或淡红色海绵状疏松团块。易与瓶壁脱离，加稀释液后迅速溶解。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成分：SPF鸡感染禽流感病毒H9亚型制备的高免血清，HI效价≥7log2。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提供由禽流感参考实验室提供技术支持证明文件。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B4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6B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892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3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20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新城疫病毒血凝抑制抗原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3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D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28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作用与用途：用于血凝抑制（HI）试验检测鸡新城疫病毒抗体。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形状：微黄色，海绵状疏松团块，易与瓶壁脱离，用PBS（0.01mol/L，pH7.4）稀释后迅速溶解。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成分：鸡新城疫病毒LaSota株接种SPF鸡胚培养，收获鸡胚尿囊液，经纯化、甲醛溶液灭活后，加适量稳定剂，经冷冻真空干燥制成。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4D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A7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B81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F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F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新城疫病毒血凝抑制试验阳性血清</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1D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51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59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作用与用途：用于血凝抑制（HI）试验检测鸡新城疫病毒抗体。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形状：微黄色或淡红色海绵状疏松团块。易与瓶壁脱离，用PBS（0.01mol/L，pH7.4）稀释后迅速溶解。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成分：用鸡新城疫灭活疫苗接种SPF鸡，采血、分离血清，经冷冻真空干燥制成。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规格：≥2ml/瓶。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有效期≥24个月。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2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A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256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0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1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血凝抑制配套试剂盒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0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E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BA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试剂盒组成成分：10%SPF鸡红细胞混悬液（4ml）、PBS（磷酸盐缓冲液）稀释缓冲液（100ml）、96孔V型血凝板（10块）、一次性加样槽（20个）、使用说明书1份。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主要用途：适用于配套完成各类血凝（血凝抑制）试验，如禽流感、新城疫、传染性支气管炎、禽腺病毒Ⅲ群(减蛋综合征病毒)、鸡毒支原体、滑液囊支原体等血凝抑制抗体检测。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规格：≥200T/盒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10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96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217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2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88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防水鞋套（L码/40-42CM）</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C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C8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26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脚底带防滑底纹，抓地力强，防滑耐磨。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筒高40-42CM。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内设双层防护，高效防水。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尺码：L码/40-42CM。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包装：1双/袋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29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AD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8C0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F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3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防水鞋套（L码）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A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2D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52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短款防水鞋套，加厚耐磨，1双/袋。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B9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8C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D5E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6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C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一次性医用外科口罩</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D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A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1F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由非织造布制成。由口罩体鼻夹口罩带组成。口罩体为三层非织造布内外层由非织造布组成中间层为过滤非织造布。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采用PFE99级无纺布过滤层，阻隔空气污染，阻止血液，体液和飞溅物传播。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本产品经环氧乙烷灭菌，灭菌有效期两年，环氧乙烷残留量应不大于10ug/g。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包装：独立包装，1个/袋。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3E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CD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DAE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3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1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0.2mlPCR薄壁八联管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B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F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A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0.2mlPCR8联排管。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规格：0.2ml。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包装：125排/盒，≥10盒/箱。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E6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3C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781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3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3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90°一次性血凝板</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8D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CF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56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一次性血凝反应板，96孔V型、90°。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包装：≥200个/箱。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5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57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609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F8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7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成人护理垫（60X90CM）</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7C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86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5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品名：护理垫。</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产品尺寸：60x90cm。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主要原材料：优质无纺布、绒毛浆、木浆纸、PE防漏膜、热熔胶等。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包装：≥60片/包。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CE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37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89B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8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D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成人护理垫（60X60CM）</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F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3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DB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品名：护理垫。</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产品尺寸：60x60cm。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主要原材料：优质无纺布、绒毛浆、木浆纸、PE防漏膜、热熔胶等。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包装：≥75片/包。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F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E6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44A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8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F2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黄色医疗专用垃圾袋加厚（76*90cm背心式塑料袋）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DE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D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捆</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BF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产品规格：76*90cm，背心式。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厚度：≥3丝。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包装：≥100个/捆。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D5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C5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E86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8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1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黄色医疗专用垃圾袋加厚（42*48cm背心式塑料袋）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4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B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捆</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E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产品规格：42*48cm，背心式。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厚度：≥3丝。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包装：≥100个/捆。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C6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9D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804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7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76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黄色医疗专用垃圾袋加厚（32*37cm背心式塑料袋）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F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3B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捆</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DA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产品规格：32*37cm，背心式。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厚度：≥3丝。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包装：≥100个/捆。</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7C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6F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A2C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8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7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200ul带滤芯袋装枪头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3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1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D7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200ul透明滤芯吸头。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规格：200ul。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包装：≥1000支/包，10包/箱。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FE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5C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C85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A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01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200ul无滤芯袋装枪头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D3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3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B4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200ul无滤芯袋装枪头。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规格：200ul。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包装：≥1000支/包，20包/箱。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2C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7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85F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5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A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10ul带滤芯袋装枪头（短头）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E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BD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3A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0.5-10ul透明滤芯吸头。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规格：10ul。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包装：≥1000支/包，10包/箱。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8A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13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9F7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80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D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300ul无滤芯袋装枪头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0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C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5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300ul无滤芯袋装枪头。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规格：300ul。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包装：≥1000支/包，10包/箱。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3C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74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49B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F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F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1%红细胞悬液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C1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9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4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用于红细胞间接凝集试验、补体结合试验、T淋巴细胞E花环试验、制作致敏细胞、免疫注射抗体、制作血平板等试验。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保存条件：2-8℃。</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包装规格：≥100ml/瓶。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9D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F7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D2B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DF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86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一次性样品袋（可书写）</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2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D4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91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材质：新PE材料。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产品性能：新PE料制作，具有透气率低，透明度高，防性能好，抗拉强度与耐刺穿强度高，可防尘收纳。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尺寸：≥17*25cm。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包装：≥20丝，100个/袋。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1B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D0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9C9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8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7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一次性样品袋（可书写）</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8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1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08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材质：新PE材料。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产品性能：新PE料制作，具有透气率低，透明度高，防性能好，抗拉强度与耐刺穿强度高，可防尘收纳。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尺寸：≥24*35cm。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包装：≥20丝，100个/袋。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9E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28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F0E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5B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FE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一次性样品袋（可书写）</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5C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F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38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材质：新PE材料。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产品性能：新PE料制作，具有透气率低，透明度高，防性能好，抗拉强度与耐刺穿强度高，可防尘收纳。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尺寸：≥14*20cm。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包装：≥20丝，100个/袋。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96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EC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96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4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B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75%酒精卫生湿巾</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4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6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6A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抽式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材质：无纺布、75%酒精苯扎氯胺。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产品性能：8重渗透技术提取RO纯水，富含多种微量元素层层过滤净化，杀菌率99.9%。</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尺寸：≥130MM*160MM。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包装规格：≥80片/包。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61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7F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404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7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0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75%酒精（带喷头）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5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2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37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本品是以乙醇为主要有效成分的消毒液，乙醇含量为75%士5%(V/V)。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可杀灭肠道致病菌、化脓性球菌、致病性酵母菌和医院感染常见细菌。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包装规格：500mL/瓶。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E8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92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F2F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5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B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75%酒精免洗手液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76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F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84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主要成分：75%酒精。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产品性能：抑菌率99.9%，有效抑制大肠杆菌，金黄色葡萄球菌，白色念珠菌，免洗速干，杀菌消菌。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包装规格：500ml/瓶。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D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29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236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2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E0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2ml病毒采样管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A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6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32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产品性能：保存液为无色透明、不易破损、品质卓越、质量稳定。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包装规格：2ml*50支/盒。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88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50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D1B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2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B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5ml病毒采样管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C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EF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21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产品性能：保存液为无色透明、不易破损、品质卓越、质量稳定。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包装规格：5ml*50支/盒。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2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3E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F09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1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6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30ML螺纹采样瓶</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0D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C4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FB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产品性能：无菌无酶无热源。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材质：PP，透明。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包装规格：30ml，≥10个/包，20包/箱。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8F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36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A7C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17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B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磁珠法病毒DNA/RNA快速提取试剂盒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A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1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D9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用途：用于核酸的提取、富集、纯化等步骤。利用磁珠吸附原理，通过特制的磁棒吸附、转移和释放磁珠，实现磁珠/核酸的转移，自动完成核酸的提取和纯化。</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适用于本单位核酸提取仪。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包装规格：≥64T/盒。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73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1A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B74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D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79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一次性乳胶手套（S码、无粉）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6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E9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A1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左右手通用。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舒适牢固，适用于多种操作条件。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无粉乳胶手套，独立包装，灭菌。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无针眼，超高防水性。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弹性好，可延伸700％，无断裂。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抗穿刺及化学腐蚀，可降解。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尺码：S码、无粉。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包装：≥30副/盒，20盒/箱。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F4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0E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1AD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3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7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一次性乳胶手套（M码、无粉）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8B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1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F9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左右手通用。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舒适牢固，适用于多种操作条件。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无粉乳胶手套，独立包装，灭菌。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无针眼，超高防水性。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弹性好，可延伸700％，无断裂。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抗穿刺及化学腐蚀，可降解。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尺码：M码、无粉。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包装：≥30副/盒，20盒/箱。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EC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9E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287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21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3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一次性隔离衣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8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6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3D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采用非织造布为主要原料经裁剪、缝纫或热合制成。用于医疗机构门诊、病房、检验室等作普通隔离。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阻隔空气污染，阻止血液，体液和飞溅物传播。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包装：独立包装，1件/袋。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D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0F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BB7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73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D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1.5ML离心管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A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7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28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1.5ml无色离心管。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适合长期保存少量试剂或者样品，也可以用于离心。无NDA酶，无RNA酶，无热源。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规格：1.5ml*500支/盒。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包装：≥500支/盒，10盒/箱。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79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13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CEA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2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2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u w:val="none"/>
                <w:lang w:val="en-US" w:eastAsia="zh-CN" w:bidi="ar"/>
              </w:rPr>
              <w:t>猪繁殖与呼吸综合征病毒抗体ELISA检测试剂盒</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F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7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2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8B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适用范围：本试剂盒适用于体外检测猪血清中猪繁殖与呼吸综合征病毒(PRRSV)抗体。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规格：≥96T/盒。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试剂组分：抗原包被板、20倍浓缩洗涤液、阳性对照、阴性对照、样品稀释液、酶结合物液、底物液A、底物液B、终止液、一次性封膜板、自封袋(干燥剂)、说明书。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实验条件：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两孔阴性对照OD450平均值应≤0.20；两孔阳性对照OD450平均值应≥0.80。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结果判定：样品OD450值＞阳性对照OD450平均值×0.3，即PRRSV抗体阳性；样品OD450值＜阳性对照OD450平均值×0.25，即PRRSV抗体阴性；阳性对照OD450平均值×0.3≥样品OD450值≥阳性对照OD450平均值×0.25，应再进行双孔复试，若任意一孔或两孔均为阳性，则视为PRRSV抗体阳性。若两孔均为阴性，则视为PRRSV抗体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有效期≥12个月。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提供生产厂家的兽药生产许可证和GMP证书。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提供说明书复印件或扫描件。</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79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A9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14:paraId="5F398292">
      <w:pPr>
        <w:bidi w:val="0"/>
      </w:pP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2945"/>
        <w:gridCol w:w="6151"/>
      </w:tblGrid>
      <w:tr w14:paraId="7742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4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5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商品名称</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9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技术参数</w:t>
            </w:r>
          </w:p>
        </w:tc>
      </w:tr>
      <w:tr w14:paraId="4974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4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6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2C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★提供有效期内批准文号批件复印件。</w:t>
            </w:r>
          </w:p>
        </w:tc>
      </w:tr>
      <w:tr w14:paraId="2E0F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1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7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9D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★提供有效期内批准文号批件复印件。</w:t>
            </w:r>
          </w:p>
        </w:tc>
      </w:tr>
      <w:tr w14:paraId="721F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5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1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非洲猪瘟病毒实时荧光PCR检测试剂盒（B扩增）</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85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★提供有效期内批准文号批件复印件。</w:t>
            </w:r>
          </w:p>
        </w:tc>
      </w:tr>
      <w:tr w14:paraId="5670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9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12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猪蓝耳病病毒通用型荧光RT-PCR 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B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▲近3年经猪蓝耳参考/专业实验室验证，并提供验证报告。</w:t>
            </w:r>
          </w:p>
        </w:tc>
      </w:tr>
      <w:tr w14:paraId="4717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C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猪蓝耳病病毒高致病型荧光RT-PCR检测试剂盒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C2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▲近3年经猪蓝耳参考/专业实验室验证，并提供验证报告。</w:t>
            </w:r>
          </w:p>
        </w:tc>
      </w:tr>
      <w:tr w14:paraId="1202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F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49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禽流感病毒通用型荧光PCR检测试剂盒（B扩增）</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16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▲近3年经禽流感参考/专业实验室验证，并提供验证报告。</w:t>
            </w:r>
          </w:p>
        </w:tc>
      </w:tr>
      <w:tr w14:paraId="10F5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A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7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禽流感病毒H5亚型荧光PCR检测试剂盒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F9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▲近3年经禽流感参考/专业实验室验证，并提供验证报告。</w:t>
            </w:r>
          </w:p>
        </w:tc>
      </w:tr>
      <w:tr w14:paraId="004B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1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2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禽流感病毒H7亚型荧光PCR检测试剂盒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B9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▲提供有效期内批准文号批件和产品新兽药注册证书复印件。</w:t>
            </w:r>
          </w:p>
        </w:tc>
      </w:tr>
      <w:tr w14:paraId="1813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7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7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禽流感病毒H9亚型荧光PCR检测试剂盒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DB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▲近3年经禽流感参考/专业实验室验证，并提供验证报告。</w:t>
            </w:r>
          </w:p>
        </w:tc>
      </w:tr>
      <w:tr w14:paraId="698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7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5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新城疫病毒荧光PCR检测试剂盒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29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▲近3年经新城疫参考/专业实验室验证，并提供验证报告。</w:t>
            </w:r>
          </w:p>
        </w:tc>
      </w:tr>
      <w:tr w14:paraId="2A1F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0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1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猪瘟病毒抗体ELISA检测试剂盒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48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▲提供有效期内批准文号批件和新兽药注册证书复印件。</w:t>
            </w:r>
          </w:p>
        </w:tc>
      </w:tr>
      <w:tr w14:paraId="412B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E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7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猪伪狂犬病毒gE竞争ELISA抗体检测试剂盒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FF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▲供有效期内批准文号批件复印件和新兽药注册证书。</w:t>
            </w:r>
          </w:p>
        </w:tc>
      </w:tr>
      <w:tr w14:paraId="35C3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6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61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猪流感H3N2抗体ELISA检测试剂盒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5D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范围：本品是基于间接ELISA方法，酶标板上已经包被H3N2抗原（灭活），对照板上包被空白抗原，添加样品后，样品内的抗体能与板上包被抗原特异性结合形成抗原抗体复合物，再与后面加入的酶标二抗结合，显色深度与样品中的抗体含量成正相关，用于检测猪的血清中H3N2抗体（需提供证明材料）。</w:t>
            </w:r>
          </w:p>
        </w:tc>
      </w:tr>
      <w:tr w14:paraId="35F8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9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9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血凝抑制配套试剂盒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7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▲提供获得CNAS资质的动物疫病预防控制中心出具的检测报告，并提供实验室认可证书。</w:t>
            </w:r>
          </w:p>
        </w:tc>
      </w:tr>
      <w:tr w14:paraId="2A00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9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1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B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磁珠法病毒DNA/RNA快速提取试剂盒</w:t>
            </w:r>
          </w:p>
        </w:tc>
        <w:tc>
          <w:tcPr>
            <w:tcW w:w="3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0A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▲1.提取纯化试剂适用于在样本中提取高纯度的病毒RNA和DNA，提取效率高，可从低浓度（≤500 copies/ml）的核糖核酸室内质控品中提取核酸用于荧光RT-PCR检测，（提供获得CNAS资质的动物疫病预防控制中心出具的检测报告，并提供实验室认可证书）。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▲2.核酸提取效率≥60%，同一样本提取得到的核酸进行荧光PCR检测，Ct值变异系数应≤2%，（提供获得CNAS资质的动物疫病预防控制中心出具的检测报告，并提供实验室认可证书）。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▲3.提取的核酸A260/A280在1.8～2.0之间，（提供获得CNAS资质的动物疫病预防控制中心出具的检测报告，并提供实验室认可证书）。</w:t>
            </w:r>
          </w:p>
        </w:tc>
      </w:tr>
    </w:tbl>
    <w:p w14:paraId="0CCA6582">
      <w:pPr>
        <w:bidi w:val="0"/>
      </w:pPr>
    </w:p>
    <w:p w14:paraId="5A7A913E">
      <w:pPr>
        <w:pStyle w:val="9"/>
        <w:spacing w:line="360" w:lineRule="auto"/>
        <w:rPr>
          <w:b/>
          <w:color w:val="auto"/>
          <w:sz w:val="24"/>
          <w:szCs w:val="24"/>
          <w:highlight w:val="none"/>
        </w:rPr>
      </w:pPr>
    </w:p>
    <w:p w14:paraId="02C84629">
      <w:pPr>
        <w:pStyle w:val="9"/>
        <w:rPr>
          <w:rFonts w:hint="eastAsia"/>
          <w:color w:val="auto"/>
          <w:highlight w:val="none"/>
          <w:lang w:val="en-US" w:eastAsia="zh-Hans"/>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94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82C0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782C0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42539"/>
    <w:rsid w:val="002E2F8C"/>
    <w:rsid w:val="00411CA3"/>
    <w:rsid w:val="0047016C"/>
    <w:rsid w:val="007958E0"/>
    <w:rsid w:val="007C2561"/>
    <w:rsid w:val="00D01278"/>
    <w:rsid w:val="010158D6"/>
    <w:rsid w:val="012A19DD"/>
    <w:rsid w:val="015E39A2"/>
    <w:rsid w:val="01B42DF8"/>
    <w:rsid w:val="01F11853"/>
    <w:rsid w:val="0204742C"/>
    <w:rsid w:val="021D53DE"/>
    <w:rsid w:val="02467A44"/>
    <w:rsid w:val="02477318"/>
    <w:rsid w:val="02B56978"/>
    <w:rsid w:val="02FE031F"/>
    <w:rsid w:val="030A6CC4"/>
    <w:rsid w:val="034B2E38"/>
    <w:rsid w:val="03D77B03"/>
    <w:rsid w:val="04051239"/>
    <w:rsid w:val="04406715"/>
    <w:rsid w:val="046917C8"/>
    <w:rsid w:val="04910D1F"/>
    <w:rsid w:val="04DC643E"/>
    <w:rsid w:val="04F574FF"/>
    <w:rsid w:val="05080FE1"/>
    <w:rsid w:val="050E236F"/>
    <w:rsid w:val="052E5946"/>
    <w:rsid w:val="056E2007"/>
    <w:rsid w:val="05856AD5"/>
    <w:rsid w:val="05A01219"/>
    <w:rsid w:val="05AD7DDA"/>
    <w:rsid w:val="05B44CC5"/>
    <w:rsid w:val="05BE5B43"/>
    <w:rsid w:val="05EF03F3"/>
    <w:rsid w:val="06190FCC"/>
    <w:rsid w:val="063B1B70"/>
    <w:rsid w:val="065B3392"/>
    <w:rsid w:val="06A72A7B"/>
    <w:rsid w:val="070727FB"/>
    <w:rsid w:val="070A727B"/>
    <w:rsid w:val="075C3866"/>
    <w:rsid w:val="07702E6D"/>
    <w:rsid w:val="077C1812"/>
    <w:rsid w:val="079B438E"/>
    <w:rsid w:val="07C66F31"/>
    <w:rsid w:val="080A27FD"/>
    <w:rsid w:val="08161C67"/>
    <w:rsid w:val="081B102B"/>
    <w:rsid w:val="082466C0"/>
    <w:rsid w:val="082A74C0"/>
    <w:rsid w:val="08564759"/>
    <w:rsid w:val="09523172"/>
    <w:rsid w:val="095C5D9F"/>
    <w:rsid w:val="098961B3"/>
    <w:rsid w:val="09FB55B8"/>
    <w:rsid w:val="0A00497C"/>
    <w:rsid w:val="0A92134D"/>
    <w:rsid w:val="0B1306DF"/>
    <w:rsid w:val="0B3F14D4"/>
    <w:rsid w:val="0B7C2440"/>
    <w:rsid w:val="0BBE064B"/>
    <w:rsid w:val="0BBE689D"/>
    <w:rsid w:val="0BE26987"/>
    <w:rsid w:val="0CB67574"/>
    <w:rsid w:val="0CDE2CEF"/>
    <w:rsid w:val="0D1A3FA7"/>
    <w:rsid w:val="0D2B7F62"/>
    <w:rsid w:val="0D350DE1"/>
    <w:rsid w:val="0D36577E"/>
    <w:rsid w:val="0D377B23"/>
    <w:rsid w:val="0D82748E"/>
    <w:rsid w:val="0DEA1BCB"/>
    <w:rsid w:val="0DED554B"/>
    <w:rsid w:val="0E1924B1"/>
    <w:rsid w:val="0E3A0F99"/>
    <w:rsid w:val="0E732933"/>
    <w:rsid w:val="0E7A7F46"/>
    <w:rsid w:val="0ECE329B"/>
    <w:rsid w:val="0F1A028E"/>
    <w:rsid w:val="0F444F44"/>
    <w:rsid w:val="0F8B4CE8"/>
    <w:rsid w:val="0F9718DF"/>
    <w:rsid w:val="0FBA381F"/>
    <w:rsid w:val="0FC93A62"/>
    <w:rsid w:val="104D6442"/>
    <w:rsid w:val="10B244F7"/>
    <w:rsid w:val="11A2456B"/>
    <w:rsid w:val="11D06DDF"/>
    <w:rsid w:val="11DA3D05"/>
    <w:rsid w:val="11E608FC"/>
    <w:rsid w:val="11F70892"/>
    <w:rsid w:val="12154D3D"/>
    <w:rsid w:val="12274A70"/>
    <w:rsid w:val="12902616"/>
    <w:rsid w:val="12B345CA"/>
    <w:rsid w:val="12B72298"/>
    <w:rsid w:val="12EF31E6"/>
    <w:rsid w:val="12FC3238"/>
    <w:rsid w:val="12FC7CAB"/>
    <w:rsid w:val="1308765F"/>
    <w:rsid w:val="137837D5"/>
    <w:rsid w:val="13CB172E"/>
    <w:rsid w:val="143516C6"/>
    <w:rsid w:val="14CD18FF"/>
    <w:rsid w:val="14E31122"/>
    <w:rsid w:val="150D257F"/>
    <w:rsid w:val="15267261"/>
    <w:rsid w:val="153B0F5F"/>
    <w:rsid w:val="155E2E9F"/>
    <w:rsid w:val="1606156C"/>
    <w:rsid w:val="165A16D2"/>
    <w:rsid w:val="16A82624"/>
    <w:rsid w:val="16B54D41"/>
    <w:rsid w:val="16C278E3"/>
    <w:rsid w:val="16C531D6"/>
    <w:rsid w:val="16C713AB"/>
    <w:rsid w:val="1715758D"/>
    <w:rsid w:val="173A3F95"/>
    <w:rsid w:val="17716EB9"/>
    <w:rsid w:val="177B3894"/>
    <w:rsid w:val="177F50ED"/>
    <w:rsid w:val="17852965"/>
    <w:rsid w:val="17C76AD9"/>
    <w:rsid w:val="17E53956"/>
    <w:rsid w:val="17E606B9"/>
    <w:rsid w:val="17FE0021"/>
    <w:rsid w:val="18581E27"/>
    <w:rsid w:val="1864558B"/>
    <w:rsid w:val="187D363C"/>
    <w:rsid w:val="189676EF"/>
    <w:rsid w:val="18B057C0"/>
    <w:rsid w:val="18DF42F7"/>
    <w:rsid w:val="190300A7"/>
    <w:rsid w:val="19267830"/>
    <w:rsid w:val="19287A4C"/>
    <w:rsid w:val="19324427"/>
    <w:rsid w:val="193C34F7"/>
    <w:rsid w:val="194B7296"/>
    <w:rsid w:val="19A75D89"/>
    <w:rsid w:val="19D90D46"/>
    <w:rsid w:val="19E51499"/>
    <w:rsid w:val="1A0C4C78"/>
    <w:rsid w:val="1A1B5F3E"/>
    <w:rsid w:val="1A332204"/>
    <w:rsid w:val="1A9609E5"/>
    <w:rsid w:val="1AAD4D5B"/>
    <w:rsid w:val="1AC448D6"/>
    <w:rsid w:val="1ACE017F"/>
    <w:rsid w:val="1B5C18DE"/>
    <w:rsid w:val="1B6D5BEA"/>
    <w:rsid w:val="1BED0AD9"/>
    <w:rsid w:val="1BF260EF"/>
    <w:rsid w:val="1C16002F"/>
    <w:rsid w:val="1C652363"/>
    <w:rsid w:val="1C7D00AF"/>
    <w:rsid w:val="1C8408E4"/>
    <w:rsid w:val="1CAE2016"/>
    <w:rsid w:val="1D0A6375"/>
    <w:rsid w:val="1D0E0D07"/>
    <w:rsid w:val="1D57445C"/>
    <w:rsid w:val="1D5A219E"/>
    <w:rsid w:val="1D8965DF"/>
    <w:rsid w:val="1E6037E4"/>
    <w:rsid w:val="1E94348E"/>
    <w:rsid w:val="1EBF49AE"/>
    <w:rsid w:val="1EF95283"/>
    <w:rsid w:val="1F707A57"/>
    <w:rsid w:val="1F751511"/>
    <w:rsid w:val="202B7B98"/>
    <w:rsid w:val="202D3B9A"/>
    <w:rsid w:val="20474C5B"/>
    <w:rsid w:val="206A6B9C"/>
    <w:rsid w:val="20847C5E"/>
    <w:rsid w:val="208732AA"/>
    <w:rsid w:val="20AA6F98"/>
    <w:rsid w:val="20D44015"/>
    <w:rsid w:val="213571AA"/>
    <w:rsid w:val="21725D08"/>
    <w:rsid w:val="21CF5E82"/>
    <w:rsid w:val="220628F4"/>
    <w:rsid w:val="22194776"/>
    <w:rsid w:val="22350AE4"/>
    <w:rsid w:val="229C4F88"/>
    <w:rsid w:val="22AD4B1E"/>
    <w:rsid w:val="22C3249C"/>
    <w:rsid w:val="22CA3922"/>
    <w:rsid w:val="230E7CB2"/>
    <w:rsid w:val="23425BAE"/>
    <w:rsid w:val="234B4A63"/>
    <w:rsid w:val="237C2E6E"/>
    <w:rsid w:val="23B1063E"/>
    <w:rsid w:val="23E80503"/>
    <w:rsid w:val="23F92711"/>
    <w:rsid w:val="24152599"/>
    <w:rsid w:val="24341998"/>
    <w:rsid w:val="248D1D5F"/>
    <w:rsid w:val="248F6BD1"/>
    <w:rsid w:val="249C4E4A"/>
    <w:rsid w:val="24DC16EA"/>
    <w:rsid w:val="24E231A5"/>
    <w:rsid w:val="24E37966"/>
    <w:rsid w:val="251B66B7"/>
    <w:rsid w:val="25565941"/>
    <w:rsid w:val="25781413"/>
    <w:rsid w:val="25820DF3"/>
    <w:rsid w:val="25883302"/>
    <w:rsid w:val="25CF7214"/>
    <w:rsid w:val="25DC5E46"/>
    <w:rsid w:val="25EB0C9E"/>
    <w:rsid w:val="25F61BC3"/>
    <w:rsid w:val="26105AEF"/>
    <w:rsid w:val="26657A8F"/>
    <w:rsid w:val="268D5392"/>
    <w:rsid w:val="26C80178"/>
    <w:rsid w:val="26C8461C"/>
    <w:rsid w:val="26EB300D"/>
    <w:rsid w:val="26EF3957"/>
    <w:rsid w:val="26F7280B"/>
    <w:rsid w:val="26F8527B"/>
    <w:rsid w:val="26FB52ED"/>
    <w:rsid w:val="279B588D"/>
    <w:rsid w:val="27C76682"/>
    <w:rsid w:val="27D74B17"/>
    <w:rsid w:val="2810627B"/>
    <w:rsid w:val="28377363"/>
    <w:rsid w:val="285F4B0C"/>
    <w:rsid w:val="28D177B8"/>
    <w:rsid w:val="29194CBB"/>
    <w:rsid w:val="293146F9"/>
    <w:rsid w:val="29797B7D"/>
    <w:rsid w:val="29883BEF"/>
    <w:rsid w:val="299B68E8"/>
    <w:rsid w:val="29D56D78"/>
    <w:rsid w:val="2A0E0598"/>
    <w:rsid w:val="2A4B5348"/>
    <w:rsid w:val="2A587A65"/>
    <w:rsid w:val="2A6F54DA"/>
    <w:rsid w:val="2A7E571E"/>
    <w:rsid w:val="2A84636C"/>
    <w:rsid w:val="2A8D770F"/>
    <w:rsid w:val="2AA131BA"/>
    <w:rsid w:val="2B2E4B4E"/>
    <w:rsid w:val="2B360074"/>
    <w:rsid w:val="2B40163B"/>
    <w:rsid w:val="2BE617CC"/>
    <w:rsid w:val="2C1F4CDE"/>
    <w:rsid w:val="2C271DE5"/>
    <w:rsid w:val="2C475FE3"/>
    <w:rsid w:val="2C491D5B"/>
    <w:rsid w:val="2C736DD8"/>
    <w:rsid w:val="2C7843EE"/>
    <w:rsid w:val="2C9254B0"/>
    <w:rsid w:val="2CAB6572"/>
    <w:rsid w:val="2D1C2FCC"/>
    <w:rsid w:val="2D3622E0"/>
    <w:rsid w:val="2D5C161A"/>
    <w:rsid w:val="2DA74F8B"/>
    <w:rsid w:val="2DB56B1C"/>
    <w:rsid w:val="2DD01A91"/>
    <w:rsid w:val="2E020414"/>
    <w:rsid w:val="2E3D769E"/>
    <w:rsid w:val="2E3F2682"/>
    <w:rsid w:val="2E4E18AB"/>
    <w:rsid w:val="2EF73CF0"/>
    <w:rsid w:val="2F000DF7"/>
    <w:rsid w:val="2F0E68EE"/>
    <w:rsid w:val="2F453AC5"/>
    <w:rsid w:val="2F4A3E20"/>
    <w:rsid w:val="2F590507"/>
    <w:rsid w:val="2F971030"/>
    <w:rsid w:val="2F974B8C"/>
    <w:rsid w:val="304A60A2"/>
    <w:rsid w:val="30646AFB"/>
    <w:rsid w:val="30A92647"/>
    <w:rsid w:val="30E74FBA"/>
    <w:rsid w:val="30F229C1"/>
    <w:rsid w:val="30FF2A4B"/>
    <w:rsid w:val="31436D79"/>
    <w:rsid w:val="31490108"/>
    <w:rsid w:val="316A07AA"/>
    <w:rsid w:val="319121DA"/>
    <w:rsid w:val="31A57A34"/>
    <w:rsid w:val="31BE0AF5"/>
    <w:rsid w:val="32240245"/>
    <w:rsid w:val="323112C7"/>
    <w:rsid w:val="32696CB3"/>
    <w:rsid w:val="328238D1"/>
    <w:rsid w:val="32BB6DE3"/>
    <w:rsid w:val="331A1D5C"/>
    <w:rsid w:val="33A51F6D"/>
    <w:rsid w:val="33B71CA0"/>
    <w:rsid w:val="342A4220"/>
    <w:rsid w:val="343230D5"/>
    <w:rsid w:val="34563267"/>
    <w:rsid w:val="34BA010A"/>
    <w:rsid w:val="35270760"/>
    <w:rsid w:val="353335A8"/>
    <w:rsid w:val="35610116"/>
    <w:rsid w:val="35611EC4"/>
    <w:rsid w:val="35867B7C"/>
    <w:rsid w:val="358E07DF"/>
    <w:rsid w:val="35AD5109"/>
    <w:rsid w:val="35D00DF7"/>
    <w:rsid w:val="35D22DC1"/>
    <w:rsid w:val="35E054DE"/>
    <w:rsid w:val="35E27DB1"/>
    <w:rsid w:val="36054F45"/>
    <w:rsid w:val="360B0CFD"/>
    <w:rsid w:val="365256CD"/>
    <w:rsid w:val="36963DEF"/>
    <w:rsid w:val="36AF4EB1"/>
    <w:rsid w:val="370F76FD"/>
    <w:rsid w:val="371371EE"/>
    <w:rsid w:val="37272C99"/>
    <w:rsid w:val="37371B9F"/>
    <w:rsid w:val="373B04F2"/>
    <w:rsid w:val="374D56AD"/>
    <w:rsid w:val="375872F6"/>
    <w:rsid w:val="38D33919"/>
    <w:rsid w:val="390F63CA"/>
    <w:rsid w:val="39693A3D"/>
    <w:rsid w:val="396A4218"/>
    <w:rsid w:val="396F26D5"/>
    <w:rsid w:val="397D3044"/>
    <w:rsid w:val="39AE1450"/>
    <w:rsid w:val="39C47956"/>
    <w:rsid w:val="39CE38A0"/>
    <w:rsid w:val="3A0F6392"/>
    <w:rsid w:val="3A4818A4"/>
    <w:rsid w:val="3AE710BD"/>
    <w:rsid w:val="3AED7D56"/>
    <w:rsid w:val="3B4200A1"/>
    <w:rsid w:val="3B5D6BB7"/>
    <w:rsid w:val="3B6A75F8"/>
    <w:rsid w:val="3BA76D7A"/>
    <w:rsid w:val="3BAE5737"/>
    <w:rsid w:val="3BC467BF"/>
    <w:rsid w:val="3BD11425"/>
    <w:rsid w:val="3BDD7DCA"/>
    <w:rsid w:val="3C2D491B"/>
    <w:rsid w:val="3C770CC6"/>
    <w:rsid w:val="3C7B7D0F"/>
    <w:rsid w:val="3CE77152"/>
    <w:rsid w:val="3D45031D"/>
    <w:rsid w:val="3D5B369C"/>
    <w:rsid w:val="3D7B789B"/>
    <w:rsid w:val="3D7D3613"/>
    <w:rsid w:val="3DB66B25"/>
    <w:rsid w:val="3E630A5B"/>
    <w:rsid w:val="3E636CAD"/>
    <w:rsid w:val="3E7569E0"/>
    <w:rsid w:val="3ECB4852"/>
    <w:rsid w:val="3EDE6333"/>
    <w:rsid w:val="3F6A7BC7"/>
    <w:rsid w:val="400B3232"/>
    <w:rsid w:val="40607D46"/>
    <w:rsid w:val="40836B4B"/>
    <w:rsid w:val="41245198"/>
    <w:rsid w:val="41596145"/>
    <w:rsid w:val="416D2F21"/>
    <w:rsid w:val="41735459"/>
    <w:rsid w:val="42313585"/>
    <w:rsid w:val="42462C72"/>
    <w:rsid w:val="42870A90"/>
    <w:rsid w:val="433130C4"/>
    <w:rsid w:val="43341698"/>
    <w:rsid w:val="43356E10"/>
    <w:rsid w:val="43607C5E"/>
    <w:rsid w:val="43A86F10"/>
    <w:rsid w:val="448C05DF"/>
    <w:rsid w:val="44B87626"/>
    <w:rsid w:val="44CB0833"/>
    <w:rsid w:val="44CD4E80"/>
    <w:rsid w:val="44D77AAC"/>
    <w:rsid w:val="44DC3315"/>
    <w:rsid w:val="44DD0E3B"/>
    <w:rsid w:val="44F76506"/>
    <w:rsid w:val="44FF0DB1"/>
    <w:rsid w:val="452847AC"/>
    <w:rsid w:val="453E5D7D"/>
    <w:rsid w:val="45863281"/>
    <w:rsid w:val="459E5BC3"/>
    <w:rsid w:val="45E217EA"/>
    <w:rsid w:val="460E4091"/>
    <w:rsid w:val="46C65C0E"/>
    <w:rsid w:val="46FF32EA"/>
    <w:rsid w:val="471825FE"/>
    <w:rsid w:val="47555616"/>
    <w:rsid w:val="47743CD8"/>
    <w:rsid w:val="479C6D8B"/>
    <w:rsid w:val="47B4109C"/>
    <w:rsid w:val="47F40E11"/>
    <w:rsid w:val="481711A1"/>
    <w:rsid w:val="484957E5"/>
    <w:rsid w:val="488C5052"/>
    <w:rsid w:val="48A169EB"/>
    <w:rsid w:val="48B85EA8"/>
    <w:rsid w:val="48E629B4"/>
    <w:rsid w:val="4900334A"/>
    <w:rsid w:val="49523BA5"/>
    <w:rsid w:val="495F2766"/>
    <w:rsid w:val="49803223"/>
    <w:rsid w:val="49843F7B"/>
    <w:rsid w:val="49D413BE"/>
    <w:rsid w:val="4A3146EB"/>
    <w:rsid w:val="4A541B9F"/>
    <w:rsid w:val="4A5C2802"/>
    <w:rsid w:val="4AD131F0"/>
    <w:rsid w:val="4ADE6DF8"/>
    <w:rsid w:val="4ADE7B01"/>
    <w:rsid w:val="4B077CF7"/>
    <w:rsid w:val="4B0C4228"/>
    <w:rsid w:val="4B1F5D09"/>
    <w:rsid w:val="4B62209A"/>
    <w:rsid w:val="4B69533A"/>
    <w:rsid w:val="4B6E6F6D"/>
    <w:rsid w:val="4B9A5CD8"/>
    <w:rsid w:val="4BB7605F"/>
    <w:rsid w:val="4BBE19C6"/>
    <w:rsid w:val="4BDB2212"/>
    <w:rsid w:val="4BE07B8E"/>
    <w:rsid w:val="4BE5265A"/>
    <w:rsid w:val="4BFF5B3B"/>
    <w:rsid w:val="4C0A0767"/>
    <w:rsid w:val="4C2D26A8"/>
    <w:rsid w:val="4CC4300C"/>
    <w:rsid w:val="4CD6689C"/>
    <w:rsid w:val="4CE6712F"/>
    <w:rsid w:val="4CE76CFB"/>
    <w:rsid w:val="4D2717ED"/>
    <w:rsid w:val="4D6D7E83"/>
    <w:rsid w:val="4DC4528E"/>
    <w:rsid w:val="4DC62DB4"/>
    <w:rsid w:val="4DF708DA"/>
    <w:rsid w:val="4EDB463D"/>
    <w:rsid w:val="4F0040A4"/>
    <w:rsid w:val="4F675ED1"/>
    <w:rsid w:val="4F7174BA"/>
    <w:rsid w:val="4F730D1A"/>
    <w:rsid w:val="4FAE58AE"/>
    <w:rsid w:val="4FDA2B47"/>
    <w:rsid w:val="500109DB"/>
    <w:rsid w:val="50125E3D"/>
    <w:rsid w:val="5019366F"/>
    <w:rsid w:val="505226DD"/>
    <w:rsid w:val="505B0B15"/>
    <w:rsid w:val="50A849F3"/>
    <w:rsid w:val="51491D32"/>
    <w:rsid w:val="51AA02F7"/>
    <w:rsid w:val="52002ACB"/>
    <w:rsid w:val="520619D1"/>
    <w:rsid w:val="5209265C"/>
    <w:rsid w:val="520D0FB1"/>
    <w:rsid w:val="521A2A1F"/>
    <w:rsid w:val="52A82A88"/>
    <w:rsid w:val="532742F5"/>
    <w:rsid w:val="535B3401"/>
    <w:rsid w:val="53654E1D"/>
    <w:rsid w:val="5371731E"/>
    <w:rsid w:val="537D3F15"/>
    <w:rsid w:val="53B52B8D"/>
    <w:rsid w:val="54106B37"/>
    <w:rsid w:val="544669FD"/>
    <w:rsid w:val="544762D1"/>
    <w:rsid w:val="54674DBD"/>
    <w:rsid w:val="546F31E6"/>
    <w:rsid w:val="548F2152"/>
    <w:rsid w:val="54994980"/>
    <w:rsid w:val="54CB0CB0"/>
    <w:rsid w:val="54E1224C"/>
    <w:rsid w:val="54E44363"/>
    <w:rsid w:val="54E65AA0"/>
    <w:rsid w:val="55410F72"/>
    <w:rsid w:val="55651104"/>
    <w:rsid w:val="55823A64"/>
    <w:rsid w:val="55D05E26"/>
    <w:rsid w:val="560D0C9F"/>
    <w:rsid w:val="5630526E"/>
    <w:rsid w:val="563F3703"/>
    <w:rsid w:val="56496330"/>
    <w:rsid w:val="56BF4844"/>
    <w:rsid w:val="572B3C88"/>
    <w:rsid w:val="57315742"/>
    <w:rsid w:val="57684EDC"/>
    <w:rsid w:val="576F0018"/>
    <w:rsid w:val="57A75A04"/>
    <w:rsid w:val="584375EF"/>
    <w:rsid w:val="5875165E"/>
    <w:rsid w:val="587753D7"/>
    <w:rsid w:val="58B73A25"/>
    <w:rsid w:val="58E30CBE"/>
    <w:rsid w:val="58EB7B73"/>
    <w:rsid w:val="59012EF2"/>
    <w:rsid w:val="59144D9C"/>
    <w:rsid w:val="591B0458"/>
    <w:rsid w:val="59797415"/>
    <w:rsid w:val="59C208D3"/>
    <w:rsid w:val="59D40607"/>
    <w:rsid w:val="5A13112F"/>
    <w:rsid w:val="5A592336"/>
    <w:rsid w:val="5A6000EC"/>
    <w:rsid w:val="5ABF64AD"/>
    <w:rsid w:val="5AD6536A"/>
    <w:rsid w:val="5AF50835"/>
    <w:rsid w:val="5B0E18F6"/>
    <w:rsid w:val="5B637E94"/>
    <w:rsid w:val="5B8A7C55"/>
    <w:rsid w:val="5BF168A5"/>
    <w:rsid w:val="5C381321"/>
    <w:rsid w:val="5C3B671B"/>
    <w:rsid w:val="5C6043D4"/>
    <w:rsid w:val="5C6C4B26"/>
    <w:rsid w:val="5C71213D"/>
    <w:rsid w:val="5C8C51C9"/>
    <w:rsid w:val="5C9347A9"/>
    <w:rsid w:val="5C9E5691"/>
    <w:rsid w:val="5CD66444"/>
    <w:rsid w:val="5CDA6800"/>
    <w:rsid w:val="5CDC6150"/>
    <w:rsid w:val="5CDD3C76"/>
    <w:rsid w:val="5CEF3BE5"/>
    <w:rsid w:val="5D35760E"/>
    <w:rsid w:val="5D695D81"/>
    <w:rsid w:val="5D6F38AA"/>
    <w:rsid w:val="5D775B0E"/>
    <w:rsid w:val="5DB1138B"/>
    <w:rsid w:val="5DB744C7"/>
    <w:rsid w:val="5DC80482"/>
    <w:rsid w:val="5E341674"/>
    <w:rsid w:val="5E6A54C7"/>
    <w:rsid w:val="5EC7073A"/>
    <w:rsid w:val="5EF01A3F"/>
    <w:rsid w:val="5FB17A7C"/>
    <w:rsid w:val="5FCD1D80"/>
    <w:rsid w:val="602A0F80"/>
    <w:rsid w:val="6074044E"/>
    <w:rsid w:val="60F03F78"/>
    <w:rsid w:val="613436B2"/>
    <w:rsid w:val="61354081"/>
    <w:rsid w:val="61363955"/>
    <w:rsid w:val="61563BD5"/>
    <w:rsid w:val="61614E76"/>
    <w:rsid w:val="6171498D"/>
    <w:rsid w:val="61840B64"/>
    <w:rsid w:val="628E3217"/>
    <w:rsid w:val="62A768B8"/>
    <w:rsid w:val="62EF025F"/>
    <w:rsid w:val="63133F4E"/>
    <w:rsid w:val="63312626"/>
    <w:rsid w:val="6367429A"/>
    <w:rsid w:val="63870498"/>
    <w:rsid w:val="639D16DD"/>
    <w:rsid w:val="63AD6150"/>
    <w:rsid w:val="63CB2078"/>
    <w:rsid w:val="640B2E77"/>
    <w:rsid w:val="6472739A"/>
    <w:rsid w:val="64A07A63"/>
    <w:rsid w:val="64F373A8"/>
    <w:rsid w:val="658253BB"/>
    <w:rsid w:val="65907AD8"/>
    <w:rsid w:val="65A13A93"/>
    <w:rsid w:val="65B83B74"/>
    <w:rsid w:val="66023927"/>
    <w:rsid w:val="663761A5"/>
    <w:rsid w:val="665723A3"/>
    <w:rsid w:val="66903B07"/>
    <w:rsid w:val="66C7577B"/>
    <w:rsid w:val="66E75E1D"/>
    <w:rsid w:val="66ED4AB6"/>
    <w:rsid w:val="67236729"/>
    <w:rsid w:val="6742138D"/>
    <w:rsid w:val="67C65A33"/>
    <w:rsid w:val="67D31EFE"/>
    <w:rsid w:val="67F65BEC"/>
    <w:rsid w:val="68213C2C"/>
    <w:rsid w:val="687E630D"/>
    <w:rsid w:val="68E72104"/>
    <w:rsid w:val="69107AB6"/>
    <w:rsid w:val="69407A67"/>
    <w:rsid w:val="6A381856"/>
    <w:rsid w:val="6B182A49"/>
    <w:rsid w:val="6B476E8A"/>
    <w:rsid w:val="6B4D612E"/>
    <w:rsid w:val="6B7B2FD8"/>
    <w:rsid w:val="6BA37C4A"/>
    <w:rsid w:val="6BA37E39"/>
    <w:rsid w:val="6BDF70C3"/>
    <w:rsid w:val="6C0E79A8"/>
    <w:rsid w:val="6C101972"/>
    <w:rsid w:val="6C2C7E2E"/>
    <w:rsid w:val="6C436390"/>
    <w:rsid w:val="6C507FC1"/>
    <w:rsid w:val="6CA93F74"/>
    <w:rsid w:val="6CD56718"/>
    <w:rsid w:val="6CED5810"/>
    <w:rsid w:val="6CF92406"/>
    <w:rsid w:val="6D200783"/>
    <w:rsid w:val="6D486EEA"/>
    <w:rsid w:val="6D5B6DAA"/>
    <w:rsid w:val="6D7101EF"/>
    <w:rsid w:val="6E192919"/>
    <w:rsid w:val="6E62712D"/>
    <w:rsid w:val="6E6C4E5A"/>
    <w:rsid w:val="6E810905"/>
    <w:rsid w:val="6EB32A89"/>
    <w:rsid w:val="6EED1AF7"/>
    <w:rsid w:val="6EF32E85"/>
    <w:rsid w:val="6EFD5AB2"/>
    <w:rsid w:val="6F2F0361"/>
    <w:rsid w:val="6F3B64CA"/>
    <w:rsid w:val="6F48151E"/>
    <w:rsid w:val="6F871F4B"/>
    <w:rsid w:val="6FB352EB"/>
    <w:rsid w:val="6FC7059A"/>
    <w:rsid w:val="6FD40F09"/>
    <w:rsid w:val="70294DB1"/>
    <w:rsid w:val="70757FF6"/>
    <w:rsid w:val="70A22DB5"/>
    <w:rsid w:val="71641E18"/>
    <w:rsid w:val="718261C7"/>
    <w:rsid w:val="719055AD"/>
    <w:rsid w:val="719942C8"/>
    <w:rsid w:val="719B7304"/>
    <w:rsid w:val="71AD37BF"/>
    <w:rsid w:val="71B7463E"/>
    <w:rsid w:val="71CF3736"/>
    <w:rsid w:val="71D451F0"/>
    <w:rsid w:val="71DD0E59"/>
    <w:rsid w:val="71E13469"/>
    <w:rsid w:val="72113D4E"/>
    <w:rsid w:val="72121874"/>
    <w:rsid w:val="723B701D"/>
    <w:rsid w:val="72760055"/>
    <w:rsid w:val="72E74AAF"/>
    <w:rsid w:val="733A4699"/>
    <w:rsid w:val="735B1CC9"/>
    <w:rsid w:val="735E6CE1"/>
    <w:rsid w:val="73886292"/>
    <w:rsid w:val="73903399"/>
    <w:rsid w:val="73C3551C"/>
    <w:rsid w:val="73F43927"/>
    <w:rsid w:val="74065409"/>
    <w:rsid w:val="743957DE"/>
    <w:rsid w:val="746F7452"/>
    <w:rsid w:val="74713E21"/>
    <w:rsid w:val="74B3733F"/>
    <w:rsid w:val="74C519CD"/>
    <w:rsid w:val="750556C0"/>
    <w:rsid w:val="750D315E"/>
    <w:rsid w:val="753F6E24"/>
    <w:rsid w:val="755D72AA"/>
    <w:rsid w:val="75AD1FE0"/>
    <w:rsid w:val="75BC66C7"/>
    <w:rsid w:val="75F419BD"/>
    <w:rsid w:val="760A34A2"/>
    <w:rsid w:val="761E2EDE"/>
    <w:rsid w:val="761E6A3A"/>
    <w:rsid w:val="762229CE"/>
    <w:rsid w:val="76316FDE"/>
    <w:rsid w:val="765B28CC"/>
    <w:rsid w:val="76D17F50"/>
    <w:rsid w:val="773E6472"/>
    <w:rsid w:val="775546DD"/>
    <w:rsid w:val="775E4B2C"/>
    <w:rsid w:val="777F4BFF"/>
    <w:rsid w:val="778D20C9"/>
    <w:rsid w:val="77A613DD"/>
    <w:rsid w:val="77B77146"/>
    <w:rsid w:val="77F79321"/>
    <w:rsid w:val="782F4F2E"/>
    <w:rsid w:val="783C12F0"/>
    <w:rsid w:val="789F69F9"/>
    <w:rsid w:val="78E977D3"/>
    <w:rsid w:val="78F63C9E"/>
    <w:rsid w:val="78F65A4C"/>
    <w:rsid w:val="790A14F7"/>
    <w:rsid w:val="79102FB2"/>
    <w:rsid w:val="791D122B"/>
    <w:rsid w:val="796162D4"/>
    <w:rsid w:val="79942585"/>
    <w:rsid w:val="79AD6A52"/>
    <w:rsid w:val="79B7167F"/>
    <w:rsid w:val="79D264B9"/>
    <w:rsid w:val="7A61783D"/>
    <w:rsid w:val="7A813A3B"/>
    <w:rsid w:val="7AB94F83"/>
    <w:rsid w:val="7ABA3C6D"/>
    <w:rsid w:val="7B113011"/>
    <w:rsid w:val="7B317100"/>
    <w:rsid w:val="7B534407"/>
    <w:rsid w:val="7B5B3E7B"/>
    <w:rsid w:val="7B8B4B71"/>
    <w:rsid w:val="7B914152"/>
    <w:rsid w:val="7BF329B8"/>
    <w:rsid w:val="7BF70459"/>
    <w:rsid w:val="7C632029"/>
    <w:rsid w:val="7D3B6123"/>
    <w:rsid w:val="7D4F7E21"/>
    <w:rsid w:val="7D5611AF"/>
    <w:rsid w:val="7DE64D9D"/>
    <w:rsid w:val="7DF07AA7"/>
    <w:rsid w:val="7DF6029C"/>
    <w:rsid w:val="7E492AC2"/>
    <w:rsid w:val="7E713588"/>
    <w:rsid w:val="7F1722F8"/>
    <w:rsid w:val="7F3E639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s="Arial"/>
      <w:color w:val="000000"/>
      <w:sz w:val="28"/>
      <w:szCs w:val="28"/>
    </w:rPr>
  </w:style>
  <w:style w:type="paragraph" w:styleId="3">
    <w:name w:val="Body Text"/>
    <w:basedOn w:val="1"/>
    <w:next w:val="4"/>
    <w:qFormat/>
    <w:uiPriority w:val="1"/>
    <w:rPr>
      <w:rFonts w:ascii="宋体" w:hAnsi="宋体" w:cs="宋体"/>
      <w:szCs w:val="21"/>
      <w:lang w:val="zh-CN" w:bidi="zh-CN"/>
    </w:rPr>
  </w:style>
  <w:style w:type="paragraph" w:styleId="4">
    <w:name w:val="toc 5"/>
    <w:basedOn w:val="1"/>
    <w:next w:val="1"/>
    <w:qFormat/>
    <w:uiPriority w:val="0"/>
    <w:pPr>
      <w:ind w:left="840"/>
      <w:jc w:val="left"/>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4362</Words>
  <Characters>4677</Characters>
  <Lines>0</Lines>
  <Paragraphs>0</Paragraphs>
  <TotalTime>4</TotalTime>
  <ScaleCrop>false</ScaleCrop>
  <LinksUpToDate>false</LinksUpToDate>
  <CharactersWithSpaces>4700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cp:lastModifiedBy>
  <cp:lastPrinted>2025-07-07T07:43:00Z</cp:lastPrinted>
  <dcterms:modified xsi:type="dcterms:W3CDTF">2025-07-21T08:55:04Z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eyJoZGlkIjoiZjVmNzI5Yzc4MGRiMDQ5ZGZlMmUxMzc5OWYwOTMxMDgiLCJ1c2VySWQiOiI0NTcyOTQ1NTYifQ==</vt:lpwstr>
  </property>
  <property fmtid="{D5CDD505-2E9C-101B-9397-08002B2CF9AE}" pid="4" name="ICV">
    <vt:lpwstr>7E499278922C4608876E99ADC84CFC63_13</vt:lpwstr>
  </property>
</Properties>
</file>